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E8D7" w14:textId="720661EE" w:rsidR="00167D09" w:rsidRDefault="00167D09">
      <w:pPr>
        <w:spacing w:after="200" w:line="276" w:lineRule="auto"/>
        <w:rPr>
          <w:b/>
          <w:i/>
          <w:iCs/>
          <w:color w:val="004B8D" w:themeColor="text2"/>
          <w:sz w:val="28"/>
          <w:szCs w:val="28"/>
        </w:rPr>
      </w:pPr>
      <w:r w:rsidRPr="00D74C6A">
        <w:rPr>
          <w:rFonts w:asciiTheme="majorHAnsi" w:hAnsiTheme="majorHAnsi" w:cstheme="majorHAnsi"/>
          <w:noProof/>
        </w:rPr>
        <mc:AlternateContent>
          <mc:Choice Requires="wps">
            <w:drawing>
              <wp:anchor distT="45720" distB="45720" distL="114300" distR="114300" simplePos="0" relativeHeight="251663360" behindDoc="0" locked="0" layoutInCell="1" allowOverlap="1" wp14:anchorId="521955D2" wp14:editId="627B910B">
                <wp:simplePos x="0" y="0"/>
                <wp:positionH relativeFrom="column">
                  <wp:posOffset>2632710</wp:posOffset>
                </wp:positionH>
                <wp:positionV relativeFrom="paragraph">
                  <wp:posOffset>514350</wp:posOffset>
                </wp:positionV>
                <wp:extent cx="3409950" cy="1404620"/>
                <wp:effectExtent l="0" t="0" r="0" b="31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160DF88D" w14:textId="77777777" w:rsidR="00167D09" w:rsidRPr="00D16F0B" w:rsidRDefault="00167D09" w:rsidP="00167D09">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3104FBD6" w14:textId="77777777" w:rsidR="00167D09" w:rsidRPr="00D16F0B" w:rsidRDefault="00167D09" w:rsidP="00167D09">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273E0694" w14:textId="77777777" w:rsidR="00167D09" w:rsidRPr="00D16F0B" w:rsidRDefault="00167D09" w:rsidP="00167D09">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118F1A55" w14:textId="77777777" w:rsidR="00167D09" w:rsidRDefault="00167D09" w:rsidP="00167D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955D2" id="_x0000_t202" coordsize="21600,21600" o:spt="202" path="m,l,21600r21600,l21600,xe">
                <v:stroke joinstyle="miter"/>
                <v:path gradientshapeok="t" o:connecttype="rect"/>
              </v:shapetype>
              <v:shape id="Textové pole 2" o:spid="_x0000_s1026" type="#_x0000_t202" style="position:absolute;margin-left:207.3pt;margin-top:40.5pt;width:26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" filled="f" stroked="f">
                <v:textbox style="mso-fit-shape-to-text:t">
                  <w:txbxContent>
                    <w:p w14:paraId="160DF88D" w14:textId="77777777" w:rsidR="00167D09" w:rsidRPr="00D16F0B" w:rsidRDefault="00167D09" w:rsidP="00167D09">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3104FBD6" w14:textId="77777777" w:rsidR="00167D09" w:rsidRPr="00D16F0B" w:rsidRDefault="00167D09" w:rsidP="00167D09">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273E0694" w14:textId="77777777" w:rsidR="00167D09" w:rsidRPr="00D16F0B" w:rsidRDefault="00167D09" w:rsidP="00167D09">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118F1A55" w14:textId="77777777" w:rsidR="00167D09" w:rsidRDefault="00167D09" w:rsidP="00167D09"/>
                  </w:txbxContent>
                </v:textbox>
                <w10:wrap type="square"/>
              </v:shape>
            </w:pict>
          </mc:Fallback>
        </mc:AlternateContent>
      </w:r>
      <w:r w:rsidRPr="00375DCD">
        <w:rPr>
          <w:rFonts w:asciiTheme="majorHAnsi" w:hAnsiTheme="majorHAnsi" w:cstheme="majorHAnsi"/>
          <w:noProof/>
        </w:rPr>
        <mc:AlternateContent>
          <mc:Choice Requires="wps">
            <w:drawing>
              <wp:anchor distT="45720" distB="45720" distL="114300" distR="114300" simplePos="0" relativeHeight="251665408" behindDoc="1" locked="0" layoutInCell="1" allowOverlap="1" wp14:anchorId="17CB0506" wp14:editId="2160E817">
                <wp:simplePos x="0" y="0"/>
                <wp:positionH relativeFrom="margin">
                  <wp:posOffset>1384935</wp:posOffset>
                </wp:positionH>
                <wp:positionV relativeFrom="paragraph">
                  <wp:posOffset>2280285</wp:posOffset>
                </wp:positionV>
                <wp:extent cx="5810400" cy="140462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400" cy="1404620"/>
                        </a:xfrm>
                        <a:prstGeom prst="rect">
                          <a:avLst/>
                        </a:prstGeom>
                        <a:solidFill>
                          <a:srgbClr val="FFFFFF"/>
                        </a:solidFill>
                        <a:ln w="9525">
                          <a:noFill/>
                          <a:miter lim="800000"/>
                          <a:headEnd/>
                          <a:tailEnd/>
                        </a:ln>
                      </wps:spPr>
                      <wps:txbx>
                        <w:txbxContent>
                          <w:p w14:paraId="275BD6DB" w14:textId="45D44BB0" w:rsidR="00167D09" w:rsidRPr="008F199B" w:rsidRDefault="00167D09" w:rsidP="00167D09">
                            <w:pPr>
                              <w:spacing w:before="120" w:after="120" w:line="276" w:lineRule="auto"/>
                              <w:contextualSpacing/>
                              <w:jc w:val="center"/>
                              <w:rPr>
                                <w:rFonts w:asciiTheme="majorHAnsi" w:hAnsiTheme="majorHAnsi" w:cstheme="majorHAnsi"/>
                                <w:b/>
                                <w:bCs/>
                                <w:color w:val="000000"/>
                                <w:sz w:val="32"/>
                                <w:szCs w:val="32"/>
                              </w:rPr>
                            </w:pPr>
                            <w:r w:rsidRPr="008F199B">
                              <w:rPr>
                                <w:rFonts w:asciiTheme="majorHAnsi" w:hAnsiTheme="majorHAnsi" w:cstheme="majorHAnsi"/>
                                <w:b/>
                                <w:bCs/>
                                <w:color w:val="000000"/>
                                <w:sz w:val="32"/>
                                <w:szCs w:val="32"/>
                              </w:rPr>
                              <w:t xml:space="preserve">Příloha č. </w:t>
                            </w:r>
                            <w:r>
                              <w:rPr>
                                <w:rFonts w:asciiTheme="majorHAnsi" w:hAnsiTheme="majorHAnsi" w:cstheme="majorHAnsi"/>
                                <w:b/>
                                <w:bCs/>
                                <w:color w:val="000000"/>
                                <w:sz w:val="32"/>
                                <w:szCs w:val="32"/>
                              </w:rPr>
                              <w:t>7</w:t>
                            </w:r>
                          </w:p>
                          <w:p w14:paraId="094E52EC" w14:textId="00221A80" w:rsidR="00167D09" w:rsidRDefault="00167D09" w:rsidP="00167D09">
                            <w:pPr>
                              <w:spacing w:before="120" w:after="120" w:line="276" w:lineRule="auto"/>
                              <w:contextualSpacing/>
                              <w:jc w:val="center"/>
                              <w:rPr>
                                <w:rFonts w:asciiTheme="majorHAnsi" w:hAnsiTheme="majorHAnsi" w:cstheme="majorHAnsi"/>
                                <w:b/>
                                <w:bCs/>
                                <w:color w:val="000000"/>
                                <w:sz w:val="32"/>
                                <w:szCs w:val="32"/>
                              </w:rPr>
                            </w:pPr>
                            <w:r>
                              <w:rPr>
                                <w:rFonts w:asciiTheme="majorHAnsi" w:hAnsiTheme="majorHAnsi" w:cstheme="majorHAnsi"/>
                                <w:b/>
                                <w:bCs/>
                                <w:color w:val="000000"/>
                                <w:sz w:val="32"/>
                                <w:szCs w:val="32"/>
                              </w:rPr>
                              <w:t>Specifické podmínky Výzvy</w:t>
                            </w:r>
                          </w:p>
                          <w:p w14:paraId="1CCFE687" w14:textId="77777777" w:rsidR="00167D09" w:rsidRPr="0079788E" w:rsidRDefault="00167D09" w:rsidP="00167D09">
                            <w:pPr>
                              <w:spacing w:before="120" w:after="120" w:line="276" w:lineRule="auto"/>
                              <w:contextualSpacing/>
                              <w:jc w:val="center"/>
                              <w:rPr>
                                <w:rFonts w:asciiTheme="majorHAnsi" w:hAnsiTheme="majorHAnsi" w:cstheme="majorHAnsi"/>
                                <w:b/>
                                <w:sz w:val="32"/>
                              </w:rPr>
                            </w:pPr>
                            <w:bookmarkStart w:id="0" w:name="_Toc105688507"/>
                            <w:bookmarkStart w:id="1" w:name="_Toc106293023"/>
                            <w:bookmarkStart w:id="2" w:name="_Toc110257959"/>
                            <w:bookmarkStart w:id="3" w:name="_Toc138091868"/>
                            <w:r w:rsidRPr="0079788E">
                              <w:rPr>
                                <w:rFonts w:ascii="Calibri" w:eastAsia="Times New Roman" w:hAnsi="Calibri" w:cs="Calibri"/>
                                <w:b/>
                                <w:color w:val="auto"/>
                                <w:sz w:val="32"/>
                                <w:szCs w:val="32"/>
                              </w:rPr>
                              <w:t xml:space="preserve">Obnovitelné zdroje energie </w:t>
                            </w:r>
                            <w:r w:rsidRPr="0079788E">
                              <w:rPr>
                                <w:rFonts w:ascii="Calibri" w:eastAsia="Times New Roman" w:hAnsi="Calibri" w:cs="Calibri"/>
                                <w:color w:val="auto"/>
                                <w:sz w:val="32"/>
                                <w:szCs w:val="32"/>
                              </w:rPr>
                              <w:t xml:space="preserve">– </w:t>
                            </w:r>
                            <w:r>
                              <w:rPr>
                                <w:rFonts w:ascii="Calibri" w:eastAsia="Times New Roman" w:hAnsi="Calibri" w:cs="Calibri"/>
                                <w:b/>
                                <w:color w:val="auto"/>
                                <w:sz w:val="32"/>
                                <w:szCs w:val="32"/>
                              </w:rPr>
                              <w:t>biomasa</w:t>
                            </w:r>
                            <w:r w:rsidRPr="0079788E">
                              <w:rPr>
                                <w:rFonts w:ascii="Calibri" w:eastAsia="Times New Roman" w:hAnsi="Calibri" w:cs="Calibri"/>
                                <w:b/>
                                <w:color w:val="auto"/>
                                <w:sz w:val="32"/>
                                <w:szCs w:val="32"/>
                              </w:rPr>
                              <w:t xml:space="preserve"> – výzva I.</w:t>
                            </w:r>
                            <w:bookmarkEnd w:id="0"/>
                            <w:bookmarkEnd w:id="1"/>
                            <w:bookmarkEnd w:id="2"/>
                            <w:bookmarkEnd w:id="3"/>
                          </w:p>
                          <w:p w14:paraId="6ECB84C2" w14:textId="77777777" w:rsidR="00167D09" w:rsidRPr="008F199B" w:rsidRDefault="00167D09" w:rsidP="00167D09">
                            <w:pPr>
                              <w:spacing w:before="120" w:after="120" w:line="276" w:lineRule="auto"/>
                              <w:contextualSpacing/>
                              <w:jc w:val="center"/>
                              <w:rPr>
                                <w:rFonts w:asciiTheme="majorHAnsi" w:hAnsiTheme="majorHAnsi" w:cstheme="majorHAnsi"/>
                                <w:b/>
                                <w:bCs/>
                                <w:color w:val="FF0000"/>
                                <w:sz w:val="32"/>
                                <w:szCs w:val="32"/>
                              </w:rPr>
                            </w:pPr>
                          </w:p>
                          <w:p w14:paraId="10B0FDC4" w14:textId="77777777" w:rsidR="00167D09" w:rsidRDefault="00167D09" w:rsidP="00167D09">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B0506" id="_x0000_s1027" type="#_x0000_t202" style="position:absolute;margin-left:109.05pt;margin-top:179.55pt;width:457.5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" stroked="f">
                <v:textbox style="mso-fit-shape-to-text:t">
                  <w:txbxContent>
                    <w:p w14:paraId="275BD6DB" w14:textId="45D44BB0" w:rsidR="00167D09" w:rsidRPr="008F199B" w:rsidRDefault="00167D09" w:rsidP="00167D09">
                      <w:pPr>
                        <w:spacing w:before="120" w:after="120" w:line="276" w:lineRule="auto"/>
                        <w:contextualSpacing/>
                        <w:jc w:val="center"/>
                        <w:rPr>
                          <w:rFonts w:asciiTheme="majorHAnsi" w:hAnsiTheme="majorHAnsi" w:cstheme="majorHAnsi"/>
                          <w:b/>
                          <w:bCs/>
                          <w:color w:val="000000"/>
                          <w:sz w:val="32"/>
                          <w:szCs w:val="32"/>
                        </w:rPr>
                      </w:pPr>
                      <w:r w:rsidRPr="008F199B">
                        <w:rPr>
                          <w:rFonts w:asciiTheme="majorHAnsi" w:hAnsiTheme="majorHAnsi" w:cstheme="majorHAnsi"/>
                          <w:b/>
                          <w:bCs/>
                          <w:color w:val="000000"/>
                          <w:sz w:val="32"/>
                          <w:szCs w:val="32"/>
                        </w:rPr>
                        <w:t xml:space="preserve">Příloha č. </w:t>
                      </w:r>
                      <w:r>
                        <w:rPr>
                          <w:rFonts w:asciiTheme="majorHAnsi" w:hAnsiTheme="majorHAnsi" w:cstheme="majorHAnsi"/>
                          <w:b/>
                          <w:bCs/>
                          <w:color w:val="000000"/>
                          <w:sz w:val="32"/>
                          <w:szCs w:val="32"/>
                        </w:rPr>
                        <w:t>7</w:t>
                      </w:r>
                    </w:p>
                    <w:p w14:paraId="094E52EC" w14:textId="00221A80" w:rsidR="00167D09" w:rsidRDefault="00167D09" w:rsidP="00167D09">
                      <w:pPr>
                        <w:spacing w:before="120" w:after="120" w:line="276" w:lineRule="auto"/>
                        <w:contextualSpacing/>
                        <w:jc w:val="center"/>
                        <w:rPr>
                          <w:rFonts w:asciiTheme="majorHAnsi" w:hAnsiTheme="majorHAnsi" w:cstheme="majorHAnsi"/>
                          <w:b/>
                          <w:bCs/>
                          <w:color w:val="000000"/>
                          <w:sz w:val="32"/>
                          <w:szCs w:val="32"/>
                        </w:rPr>
                      </w:pPr>
                      <w:r>
                        <w:rPr>
                          <w:rFonts w:asciiTheme="majorHAnsi" w:hAnsiTheme="majorHAnsi" w:cstheme="majorHAnsi"/>
                          <w:b/>
                          <w:bCs/>
                          <w:color w:val="000000"/>
                          <w:sz w:val="32"/>
                          <w:szCs w:val="32"/>
                        </w:rPr>
                        <w:t>Specifické podmínky Výzvy</w:t>
                      </w:r>
                    </w:p>
                    <w:p w14:paraId="1CCFE687" w14:textId="77777777" w:rsidR="00167D09" w:rsidRPr="0079788E" w:rsidRDefault="00167D09" w:rsidP="00167D09">
                      <w:pPr>
                        <w:spacing w:before="120" w:after="120" w:line="276" w:lineRule="auto"/>
                        <w:contextualSpacing/>
                        <w:jc w:val="center"/>
                        <w:rPr>
                          <w:rFonts w:asciiTheme="majorHAnsi" w:hAnsiTheme="majorHAnsi" w:cstheme="majorHAnsi"/>
                          <w:b/>
                          <w:sz w:val="32"/>
                        </w:rPr>
                      </w:pPr>
                      <w:bookmarkStart w:id="4" w:name="_Toc105688507"/>
                      <w:bookmarkStart w:id="5" w:name="_Toc106293023"/>
                      <w:bookmarkStart w:id="6" w:name="_Toc110257959"/>
                      <w:bookmarkStart w:id="7" w:name="_Toc138091868"/>
                      <w:r w:rsidRPr="0079788E">
                        <w:rPr>
                          <w:rFonts w:ascii="Calibri" w:eastAsia="Times New Roman" w:hAnsi="Calibri" w:cs="Calibri"/>
                          <w:b/>
                          <w:color w:val="auto"/>
                          <w:sz w:val="32"/>
                          <w:szCs w:val="32"/>
                        </w:rPr>
                        <w:t xml:space="preserve">Obnovitelné zdroje energie </w:t>
                      </w:r>
                      <w:r w:rsidRPr="0079788E">
                        <w:rPr>
                          <w:rFonts w:ascii="Calibri" w:eastAsia="Times New Roman" w:hAnsi="Calibri" w:cs="Calibri"/>
                          <w:color w:val="auto"/>
                          <w:sz w:val="32"/>
                          <w:szCs w:val="32"/>
                        </w:rPr>
                        <w:t xml:space="preserve">– </w:t>
                      </w:r>
                      <w:r>
                        <w:rPr>
                          <w:rFonts w:ascii="Calibri" w:eastAsia="Times New Roman" w:hAnsi="Calibri" w:cs="Calibri"/>
                          <w:b/>
                          <w:color w:val="auto"/>
                          <w:sz w:val="32"/>
                          <w:szCs w:val="32"/>
                        </w:rPr>
                        <w:t>biomasa</w:t>
                      </w:r>
                      <w:r w:rsidRPr="0079788E">
                        <w:rPr>
                          <w:rFonts w:ascii="Calibri" w:eastAsia="Times New Roman" w:hAnsi="Calibri" w:cs="Calibri"/>
                          <w:b/>
                          <w:color w:val="auto"/>
                          <w:sz w:val="32"/>
                          <w:szCs w:val="32"/>
                        </w:rPr>
                        <w:t xml:space="preserve"> – výzva I.</w:t>
                      </w:r>
                      <w:bookmarkEnd w:id="4"/>
                      <w:bookmarkEnd w:id="5"/>
                      <w:bookmarkEnd w:id="6"/>
                      <w:bookmarkEnd w:id="7"/>
                    </w:p>
                    <w:p w14:paraId="6ECB84C2" w14:textId="77777777" w:rsidR="00167D09" w:rsidRPr="008F199B" w:rsidRDefault="00167D09" w:rsidP="00167D09">
                      <w:pPr>
                        <w:spacing w:before="120" w:after="120" w:line="276" w:lineRule="auto"/>
                        <w:contextualSpacing/>
                        <w:jc w:val="center"/>
                        <w:rPr>
                          <w:rFonts w:asciiTheme="majorHAnsi" w:hAnsiTheme="majorHAnsi" w:cstheme="majorHAnsi"/>
                          <w:b/>
                          <w:bCs/>
                          <w:color w:val="FF0000"/>
                          <w:sz w:val="32"/>
                          <w:szCs w:val="32"/>
                        </w:rPr>
                      </w:pPr>
                    </w:p>
                    <w:p w14:paraId="10B0FDC4" w14:textId="77777777" w:rsidR="00167D09" w:rsidRDefault="00167D09" w:rsidP="00167D09">
                      <w:pPr>
                        <w:jc w:val="center"/>
                      </w:pPr>
                    </w:p>
                  </w:txbxContent>
                </v:textbox>
                <w10:wrap anchorx="margin"/>
              </v:shape>
            </w:pict>
          </mc:Fallback>
        </mc:AlternateContent>
      </w:r>
      <w:r>
        <w:rPr>
          <w:noProof/>
        </w:rPr>
        <w:drawing>
          <wp:anchor distT="0" distB="0" distL="114300" distR="114300" simplePos="0" relativeHeight="251666432" behindDoc="0" locked="0" layoutInCell="1" allowOverlap="1" wp14:anchorId="40C4CF32" wp14:editId="088AB93E">
            <wp:simplePos x="0" y="0"/>
            <wp:positionH relativeFrom="column">
              <wp:posOffset>6566535</wp:posOffset>
            </wp:positionH>
            <wp:positionV relativeFrom="paragraph">
              <wp:posOffset>2280285</wp:posOffset>
            </wp:positionV>
            <wp:extent cx="3438000" cy="4640400"/>
            <wp:effectExtent l="0" t="0" r="0" b="825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38000" cy="464040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br w:type="page"/>
      </w:r>
    </w:p>
    <w:p w14:paraId="6F8C8484" w14:textId="1EB36850" w:rsidR="0061343A" w:rsidRPr="0061343A" w:rsidRDefault="00CC6AC6" w:rsidP="0061343A">
      <w:pPr>
        <w:pStyle w:val="Titulek"/>
        <w:keepNext/>
        <w:rPr>
          <w:b/>
          <w:sz w:val="28"/>
          <w:szCs w:val="28"/>
        </w:rPr>
      </w:pPr>
      <w:r>
        <w:rPr>
          <w:b/>
          <w:sz w:val="28"/>
          <w:szCs w:val="28"/>
        </w:rPr>
        <w:lastRenderedPageBreak/>
        <w:t>7</w:t>
      </w:r>
      <w:r w:rsidR="004631EE">
        <w:rPr>
          <w:b/>
          <w:sz w:val="28"/>
          <w:szCs w:val="28"/>
        </w:rPr>
        <w:t>.</w:t>
      </w:r>
      <w:r w:rsidR="0070324E">
        <w:rPr>
          <w:b/>
          <w:sz w:val="28"/>
          <w:szCs w:val="28"/>
        </w:rPr>
        <w:t>a</w:t>
      </w:r>
      <w:r w:rsidR="004631EE">
        <w:rPr>
          <w:b/>
          <w:sz w:val="28"/>
          <w:szCs w:val="28"/>
        </w:rPr>
        <w:t xml:space="preserve"> – </w:t>
      </w:r>
      <w:r w:rsidR="0061343A" w:rsidRPr="0061343A">
        <w:rPr>
          <w:b/>
          <w:sz w:val="28"/>
          <w:szCs w:val="28"/>
        </w:rPr>
        <w:t>Výčet specifických podmínek</w:t>
      </w:r>
      <w:r w:rsidR="00F0004D">
        <w:rPr>
          <w:b/>
          <w:sz w:val="28"/>
          <w:szCs w:val="28"/>
        </w:rPr>
        <w:t xml:space="preserve"> </w:t>
      </w:r>
      <w:r w:rsidR="00B20A7C">
        <w:rPr>
          <w:b/>
          <w:sz w:val="28"/>
          <w:szCs w:val="28"/>
        </w:rPr>
        <w:t>Výzvy</w:t>
      </w:r>
      <w:r w:rsidR="0061343A" w:rsidRPr="0061343A">
        <w:rPr>
          <w:b/>
          <w:sz w:val="28"/>
          <w:szCs w:val="28"/>
        </w:rPr>
        <w:t>, ke kterým se bude vyjadřovat energetický specialista</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4536"/>
        <w:gridCol w:w="3152"/>
      </w:tblGrid>
      <w:tr w:rsidR="00630F96" w:rsidRPr="00613AC5" w14:paraId="5D6473E8" w14:textId="77777777" w:rsidTr="008C2114">
        <w:trPr>
          <w:trHeight w:val="615"/>
          <w:tblHeader/>
        </w:trPr>
        <w:tc>
          <w:tcPr>
            <w:tcW w:w="7366" w:type="dxa"/>
            <w:shd w:val="clear" w:color="000000" w:fill="BFBFBF"/>
            <w:vAlign w:val="center"/>
            <w:hideMark/>
          </w:tcPr>
          <w:p w14:paraId="082538FC" w14:textId="77777777" w:rsidR="006361DB" w:rsidRPr="00613AC5" w:rsidRDefault="006361DB" w:rsidP="006361DB">
            <w:pPr>
              <w:spacing w:after="0" w:line="240" w:lineRule="auto"/>
              <w:jc w:val="center"/>
              <w:rPr>
                <w:rFonts w:ascii="Calibri" w:eastAsia="Times New Roman" w:hAnsi="Calibri" w:cs="Calibri"/>
                <w:b/>
                <w:bCs/>
                <w:color w:val="000000"/>
                <w:lang w:eastAsia="cs-CZ"/>
              </w:rPr>
            </w:pPr>
            <w:r w:rsidRPr="00613AC5">
              <w:rPr>
                <w:rFonts w:ascii="Calibri" w:eastAsia="Times New Roman" w:hAnsi="Calibri" w:cs="Calibri"/>
                <w:b/>
                <w:bCs/>
                <w:color w:val="000000"/>
                <w:lang w:eastAsia="cs-CZ"/>
              </w:rPr>
              <w:t>Specifická podmínka programu</w:t>
            </w:r>
          </w:p>
        </w:tc>
        <w:tc>
          <w:tcPr>
            <w:tcW w:w="4536" w:type="dxa"/>
            <w:shd w:val="clear" w:color="000000" w:fill="BFBFBF"/>
            <w:vAlign w:val="center"/>
            <w:hideMark/>
          </w:tcPr>
          <w:p w14:paraId="1707E14F" w14:textId="32D861A7" w:rsidR="006361DB" w:rsidRPr="00613AC5" w:rsidRDefault="006361DB" w:rsidP="006361DB">
            <w:pPr>
              <w:spacing w:after="0" w:line="240" w:lineRule="auto"/>
              <w:jc w:val="center"/>
              <w:rPr>
                <w:rFonts w:ascii="Calibri" w:eastAsia="Times New Roman" w:hAnsi="Calibri" w:cs="Calibri"/>
                <w:b/>
                <w:bCs/>
                <w:color w:val="000000"/>
                <w:lang w:eastAsia="cs-CZ"/>
              </w:rPr>
            </w:pPr>
            <w:r w:rsidRPr="00613AC5">
              <w:rPr>
                <w:rFonts w:ascii="Calibri" w:eastAsia="Times New Roman" w:hAnsi="Calibri" w:cs="Calibri"/>
                <w:b/>
                <w:bCs/>
                <w:color w:val="000000"/>
                <w:lang w:eastAsia="cs-CZ"/>
              </w:rPr>
              <w:t>Stanovisko energetického specialisty tam, kde je to relevantní</w:t>
            </w:r>
            <w:r w:rsidR="003B3F6E" w:rsidRPr="00613AC5">
              <w:rPr>
                <w:rStyle w:val="Znakapoznpodarou"/>
                <w:rFonts w:ascii="Calibri" w:eastAsia="Times New Roman" w:hAnsi="Calibri" w:cs="Calibri"/>
                <w:b/>
                <w:bCs/>
                <w:color w:val="000000"/>
                <w:lang w:eastAsia="cs-CZ"/>
              </w:rPr>
              <w:footnoteReference w:id="1"/>
            </w:r>
          </w:p>
        </w:tc>
        <w:tc>
          <w:tcPr>
            <w:tcW w:w="3152" w:type="dxa"/>
            <w:shd w:val="clear" w:color="000000" w:fill="BFBFBF"/>
            <w:vAlign w:val="center"/>
            <w:hideMark/>
          </w:tcPr>
          <w:p w14:paraId="245B4B4C" w14:textId="77777777" w:rsidR="006361DB" w:rsidRPr="00613AC5" w:rsidRDefault="006361DB" w:rsidP="006361DB">
            <w:pPr>
              <w:spacing w:after="0" w:line="240" w:lineRule="auto"/>
              <w:jc w:val="center"/>
              <w:rPr>
                <w:rFonts w:ascii="Calibri" w:eastAsia="Times New Roman" w:hAnsi="Calibri" w:cs="Calibri"/>
                <w:b/>
                <w:bCs/>
                <w:color w:val="000000"/>
                <w:lang w:eastAsia="cs-CZ"/>
              </w:rPr>
            </w:pPr>
            <w:r w:rsidRPr="00613AC5">
              <w:rPr>
                <w:rFonts w:ascii="Calibri" w:eastAsia="Times New Roman" w:hAnsi="Calibri" w:cs="Calibri"/>
                <w:b/>
                <w:bCs/>
                <w:color w:val="000000"/>
                <w:lang w:eastAsia="cs-CZ"/>
              </w:rPr>
              <w:t>Splněno (ANO/NE/NERELEVANTNÍ</w:t>
            </w:r>
            <w:r w:rsidRPr="00613AC5">
              <w:rPr>
                <w:rFonts w:ascii="Calibri" w:eastAsia="Times New Roman" w:hAnsi="Calibri" w:cs="Calibri"/>
                <w:b/>
                <w:bCs/>
                <w:color w:val="000000"/>
                <w:vertAlign w:val="superscript"/>
                <w:lang w:eastAsia="cs-CZ"/>
              </w:rPr>
              <w:t>*1</w:t>
            </w:r>
            <w:r w:rsidRPr="00613AC5">
              <w:rPr>
                <w:rFonts w:ascii="Calibri" w:eastAsia="Times New Roman" w:hAnsi="Calibri" w:cs="Calibri"/>
                <w:b/>
                <w:bCs/>
                <w:color w:val="000000"/>
                <w:lang w:eastAsia="cs-CZ"/>
              </w:rPr>
              <w:t>)</w:t>
            </w:r>
          </w:p>
        </w:tc>
      </w:tr>
      <w:tr w:rsidR="00630F96" w:rsidRPr="00613AC5" w14:paraId="69B32563" w14:textId="77777777" w:rsidTr="008C2114">
        <w:trPr>
          <w:trHeight w:val="426"/>
        </w:trPr>
        <w:tc>
          <w:tcPr>
            <w:tcW w:w="7366" w:type="dxa"/>
            <w:shd w:val="clear" w:color="auto" w:fill="auto"/>
            <w:vAlign w:val="bottom"/>
            <w:hideMark/>
          </w:tcPr>
          <w:p w14:paraId="71BF6831" w14:textId="196313E4" w:rsidR="006361DB" w:rsidRPr="00613AC5" w:rsidRDefault="00A4231B" w:rsidP="00C32A99">
            <w:pPr>
              <w:pStyle w:val="Odstavecseseznamem"/>
              <w:numPr>
                <w:ilvl w:val="0"/>
                <w:numId w:val="40"/>
              </w:numPr>
              <w:spacing w:after="0" w:line="240" w:lineRule="auto"/>
              <w:jc w:val="both"/>
              <w:rPr>
                <w:rFonts w:ascii="Calibri" w:eastAsia="Times New Roman" w:hAnsi="Calibri" w:cs="Calibri"/>
                <w:color w:val="000000"/>
                <w:lang w:eastAsia="cs-CZ"/>
              </w:rPr>
            </w:pPr>
            <w:r w:rsidRPr="00613AC5">
              <w:rPr>
                <w:rFonts w:ascii="Calibri" w:eastAsia="Times New Roman" w:hAnsi="Calibri" w:cs="Calibri"/>
                <w:color w:val="000000"/>
                <w:lang w:eastAsia="cs-CZ"/>
              </w:rPr>
              <w:t>Vyrobená energie bude určena pro distribuci a/nebo vlastní spotřebu. V případě výroby energie pro distribuci bude muset žadatel nejpozději v době podání žádosti o platbu za poslední etapu předložit licenci na výrobu elektrické energie a/nebo licenci na výrobu a rozvod tepelné energie, kterou uděluje Energetický regulační úřad (ERÚ) podle § 5 zákona č. 458/2000 Sb., o podmínkách podnikání a o výkonu státní správy v energetických odvětvích a o změně některých zákonů (energetický zákon) ve znění pozdějších předpisů.</w:t>
            </w:r>
          </w:p>
        </w:tc>
        <w:tc>
          <w:tcPr>
            <w:tcW w:w="4536" w:type="dxa"/>
            <w:shd w:val="clear" w:color="auto" w:fill="auto"/>
            <w:noWrap/>
            <w:vAlign w:val="bottom"/>
            <w:hideMark/>
          </w:tcPr>
          <w:p w14:paraId="570D02A1" w14:textId="77777777" w:rsidR="006361DB" w:rsidRPr="00613AC5" w:rsidRDefault="006361DB" w:rsidP="006361DB">
            <w:pPr>
              <w:spacing w:after="0" w:line="240" w:lineRule="auto"/>
              <w:rPr>
                <w:rFonts w:ascii="Calibri" w:eastAsia="Times New Roman" w:hAnsi="Calibri" w:cs="Calibri"/>
                <w:color w:val="000000"/>
                <w:lang w:eastAsia="cs-CZ"/>
              </w:rPr>
            </w:pPr>
            <w:r w:rsidRPr="00613AC5">
              <w:rPr>
                <w:rFonts w:ascii="Calibri" w:eastAsia="Times New Roman" w:hAnsi="Calibri" w:cs="Calibri"/>
                <w:color w:val="000000"/>
                <w:lang w:eastAsia="cs-CZ"/>
              </w:rPr>
              <w:t> </w:t>
            </w:r>
          </w:p>
        </w:tc>
        <w:tc>
          <w:tcPr>
            <w:tcW w:w="3152" w:type="dxa"/>
            <w:shd w:val="clear" w:color="auto" w:fill="auto"/>
            <w:noWrap/>
            <w:vAlign w:val="bottom"/>
            <w:hideMark/>
          </w:tcPr>
          <w:p w14:paraId="292ACACF" w14:textId="77777777" w:rsidR="006361DB" w:rsidRPr="00613AC5" w:rsidRDefault="006361DB" w:rsidP="006361DB">
            <w:pPr>
              <w:spacing w:after="0" w:line="240" w:lineRule="auto"/>
              <w:rPr>
                <w:rFonts w:ascii="Calibri" w:eastAsia="Times New Roman" w:hAnsi="Calibri" w:cs="Calibri"/>
                <w:color w:val="000000"/>
                <w:lang w:eastAsia="cs-CZ"/>
              </w:rPr>
            </w:pPr>
            <w:r w:rsidRPr="00613AC5">
              <w:rPr>
                <w:rFonts w:ascii="Calibri" w:eastAsia="Times New Roman" w:hAnsi="Calibri" w:cs="Calibri"/>
                <w:color w:val="000000"/>
                <w:lang w:eastAsia="cs-CZ"/>
              </w:rPr>
              <w:t> </w:t>
            </w:r>
          </w:p>
        </w:tc>
      </w:tr>
      <w:tr w:rsidR="00630F96" w:rsidRPr="00613AC5" w14:paraId="1340FEC8" w14:textId="77777777" w:rsidTr="00411A71">
        <w:trPr>
          <w:trHeight w:val="1183"/>
        </w:trPr>
        <w:tc>
          <w:tcPr>
            <w:tcW w:w="7366" w:type="dxa"/>
            <w:shd w:val="clear" w:color="auto" w:fill="auto"/>
            <w:vAlign w:val="bottom"/>
          </w:tcPr>
          <w:p w14:paraId="18AE3E07" w14:textId="56E09F3C" w:rsidR="006361DB" w:rsidRPr="00613AC5" w:rsidRDefault="00C83426" w:rsidP="00EE0433">
            <w:pPr>
              <w:pStyle w:val="Odstavecseseznamem"/>
              <w:numPr>
                <w:ilvl w:val="0"/>
                <w:numId w:val="40"/>
              </w:numPr>
              <w:spacing w:after="0" w:line="240" w:lineRule="auto"/>
              <w:jc w:val="both"/>
              <w:rPr>
                <w:rFonts w:ascii="Calibri" w:eastAsia="Times New Roman" w:hAnsi="Calibri" w:cs="Calibri"/>
                <w:color w:val="000000"/>
                <w:lang w:eastAsia="cs-CZ"/>
              </w:rPr>
            </w:pPr>
            <w:r w:rsidRPr="00613AC5">
              <w:rPr>
                <w:rFonts w:ascii="Calibri" w:eastAsia="Times New Roman" w:hAnsi="Calibri" w:cs="Calibri"/>
                <w:color w:val="000000"/>
                <w:lang w:eastAsia="cs-CZ"/>
              </w:rPr>
              <w:t>Projekty obsahující návrh na kombinovanou výrobu elektřiny a tepla budou podporovány pouze v případě, pokud splní kritéria pro vysokoúčinnou výrobu elektřiny a tepla podle vyhlášky č. 37/2016 Sb. o elektřině z vysokoúčinné kombinované výroby elektřiny a tepla a elektřině z druhotných zdrojů, ve znění pozdějších předpisů.</w:t>
            </w:r>
          </w:p>
        </w:tc>
        <w:tc>
          <w:tcPr>
            <w:tcW w:w="4536" w:type="dxa"/>
            <w:shd w:val="clear" w:color="auto" w:fill="auto"/>
            <w:noWrap/>
            <w:vAlign w:val="bottom"/>
            <w:hideMark/>
          </w:tcPr>
          <w:p w14:paraId="6F8E5E11" w14:textId="77777777" w:rsidR="006361DB" w:rsidRPr="00613AC5" w:rsidRDefault="006361DB" w:rsidP="006361DB">
            <w:pPr>
              <w:spacing w:after="0" w:line="240" w:lineRule="auto"/>
              <w:rPr>
                <w:rFonts w:ascii="Calibri" w:eastAsia="Times New Roman" w:hAnsi="Calibri" w:cs="Calibri"/>
                <w:color w:val="000000"/>
                <w:lang w:eastAsia="cs-CZ"/>
              </w:rPr>
            </w:pPr>
            <w:r w:rsidRPr="00613AC5">
              <w:rPr>
                <w:rFonts w:ascii="Calibri" w:eastAsia="Times New Roman" w:hAnsi="Calibri" w:cs="Calibri"/>
                <w:color w:val="000000"/>
                <w:lang w:eastAsia="cs-CZ"/>
              </w:rPr>
              <w:t> </w:t>
            </w:r>
          </w:p>
        </w:tc>
        <w:tc>
          <w:tcPr>
            <w:tcW w:w="3152" w:type="dxa"/>
            <w:shd w:val="clear" w:color="auto" w:fill="auto"/>
            <w:noWrap/>
            <w:vAlign w:val="bottom"/>
            <w:hideMark/>
          </w:tcPr>
          <w:p w14:paraId="43BBB5FA" w14:textId="77777777" w:rsidR="006361DB" w:rsidRPr="00613AC5" w:rsidRDefault="006361DB" w:rsidP="006361DB">
            <w:pPr>
              <w:spacing w:after="0" w:line="240" w:lineRule="auto"/>
              <w:rPr>
                <w:rFonts w:ascii="Calibri" w:eastAsia="Times New Roman" w:hAnsi="Calibri" w:cs="Calibri"/>
                <w:color w:val="000000"/>
                <w:lang w:eastAsia="cs-CZ"/>
              </w:rPr>
            </w:pPr>
            <w:r w:rsidRPr="00613AC5">
              <w:rPr>
                <w:rFonts w:ascii="Calibri" w:eastAsia="Times New Roman" w:hAnsi="Calibri" w:cs="Calibri"/>
                <w:color w:val="000000"/>
                <w:lang w:eastAsia="cs-CZ"/>
              </w:rPr>
              <w:t> </w:t>
            </w:r>
          </w:p>
        </w:tc>
      </w:tr>
      <w:tr w:rsidR="00F0648F" w:rsidRPr="00613AC5" w14:paraId="6A64328C" w14:textId="77777777" w:rsidTr="00190699">
        <w:trPr>
          <w:trHeight w:val="1643"/>
        </w:trPr>
        <w:tc>
          <w:tcPr>
            <w:tcW w:w="7366" w:type="dxa"/>
            <w:shd w:val="clear" w:color="auto" w:fill="auto"/>
            <w:vAlign w:val="bottom"/>
          </w:tcPr>
          <w:p w14:paraId="37921882" w14:textId="39B93342" w:rsidR="00F0648F" w:rsidRPr="00613AC5" w:rsidRDefault="00F0648F" w:rsidP="00F0648F">
            <w:pPr>
              <w:pStyle w:val="Odstavecseseznamem"/>
              <w:numPr>
                <w:ilvl w:val="0"/>
                <w:numId w:val="40"/>
              </w:numPr>
              <w:spacing w:after="0" w:line="240" w:lineRule="auto"/>
              <w:jc w:val="both"/>
              <w:rPr>
                <w:rFonts w:ascii="Calibri" w:eastAsia="Times New Roman" w:hAnsi="Calibri" w:cs="Calibri"/>
                <w:color w:val="000000"/>
                <w:lang w:eastAsia="cs-CZ"/>
              </w:rPr>
            </w:pPr>
            <w:r w:rsidRPr="00613AC5">
              <w:rPr>
                <w:rFonts w:ascii="Calibri" w:eastAsia="Times New Roman" w:hAnsi="Calibri" w:cs="Calibri"/>
                <w:color w:val="000000"/>
                <w:lang w:eastAsia="cs-CZ"/>
              </w:rPr>
              <w:t xml:space="preserve">U zařízení spadajících do oblasti působnosti směrnice Evropského parlamentu a Rady 2010/75/EU jsou emise nejvýše na úrovni emisí spojené s rozsahem hodnot nejlepších dostupných technik stanoveným v nejnovějších relevantních závěrech o nejlepších dostupných technikách (BAT), včetně závěrů o nejlepších dostupných technikách (BAT) pro velká spalovací zařízení (Prováděcí rozhodnutí (EU) 2017/1442). Nedochází k žádným významným </w:t>
            </w:r>
            <w:proofErr w:type="spellStart"/>
            <w:r w:rsidRPr="00613AC5">
              <w:rPr>
                <w:rFonts w:ascii="Calibri" w:eastAsia="Times New Roman" w:hAnsi="Calibri" w:cs="Calibri"/>
                <w:color w:val="000000"/>
                <w:lang w:eastAsia="cs-CZ"/>
              </w:rPr>
              <w:t>mezisložkovým</w:t>
            </w:r>
            <w:proofErr w:type="spellEnd"/>
            <w:r w:rsidRPr="00613AC5">
              <w:rPr>
                <w:rFonts w:ascii="Calibri" w:eastAsia="Times New Roman" w:hAnsi="Calibri" w:cs="Calibri"/>
                <w:color w:val="000000"/>
                <w:lang w:eastAsia="cs-CZ"/>
              </w:rPr>
              <w:t xml:space="preserve"> vlivům.</w:t>
            </w:r>
          </w:p>
        </w:tc>
        <w:tc>
          <w:tcPr>
            <w:tcW w:w="4536" w:type="dxa"/>
            <w:shd w:val="clear" w:color="auto" w:fill="auto"/>
            <w:noWrap/>
            <w:vAlign w:val="bottom"/>
          </w:tcPr>
          <w:p w14:paraId="7AC2F862" w14:textId="77777777" w:rsidR="00F0648F" w:rsidRPr="00613AC5" w:rsidRDefault="00F0648F" w:rsidP="006361DB">
            <w:pPr>
              <w:spacing w:after="0" w:line="240" w:lineRule="auto"/>
              <w:rPr>
                <w:rFonts w:ascii="Calibri" w:eastAsia="Times New Roman" w:hAnsi="Calibri" w:cs="Calibri"/>
                <w:color w:val="000000"/>
                <w:lang w:eastAsia="cs-CZ"/>
              </w:rPr>
            </w:pPr>
          </w:p>
        </w:tc>
        <w:tc>
          <w:tcPr>
            <w:tcW w:w="3152" w:type="dxa"/>
            <w:shd w:val="clear" w:color="auto" w:fill="auto"/>
            <w:noWrap/>
            <w:vAlign w:val="bottom"/>
          </w:tcPr>
          <w:p w14:paraId="24BFBA8B" w14:textId="77777777" w:rsidR="00F0648F" w:rsidRPr="00613AC5" w:rsidRDefault="00F0648F" w:rsidP="006361DB">
            <w:pPr>
              <w:spacing w:after="0" w:line="240" w:lineRule="auto"/>
              <w:rPr>
                <w:rFonts w:ascii="Calibri" w:eastAsia="Times New Roman" w:hAnsi="Calibri" w:cs="Calibri"/>
                <w:color w:val="000000"/>
                <w:lang w:eastAsia="cs-CZ"/>
              </w:rPr>
            </w:pPr>
          </w:p>
        </w:tc>
      </w:tr>
      <w:tr w:rsidR="009B41B5" w:rsidRPr="00613AC5" w14:paraId="6108D897" w14:textId="77777777" w:rsidTr="00190699">
        <w:trPr>
          <w:trHeight w:val="1643"/>
        </w:trPr>
        <w:tc>
          <w:tcPr>
            <w:tcW w:w="7366" w:type="dxa"/>
            <w:shd w:val="clear" w:color="auto" w:fill="auto"/>
            <w:vAlign w:val="bottom"/>
          </w:tcPr>
          <w:p w14:paraId="04E68AFB" w14:textId="1DA39372" w:rsidR="009B41B5" w:rsidRPr="00613AC5" w:rsidRDefault="001A7BCD" w:rsidP="00F0648F">
            <w:pPr>
              <w:pStyle w:val="Odstavecseseznamem"/>
              <w:numPr>
                <w:ilvl w:val="0"/>
                <w:numId w:val="40"/>
              </w:numPr>
              <w:spacing w:before="80" w:after="80"/>
              <w:jc w:val="both"/>
              <w:rPr>
                <w:rFonts w:ascii="Calibri" w:eastAsia="Times New Roman" w:hAnsi="Calibri" w:cs="Calibri"/>
                <w:color w:val="000000"/>
                <w:lang w:eastAsia="cs-CZ"/>
              </w:rPr>
            </w:pPr>
            <w:r w:rsidRPr="00613AC5">
              <w:rPr>
                <w:rFonts w:ascii="Calibri" w:eastAsia="Times New Roman" w:hAnsi="Calibri" w:cs="Calibri"/>
                <w:color w:val="000000"/>
                <w:lang w:eastAsia="cs-CZ"/>
              </w:rPr>
              <w:lastRenderedPageBreak/>
              <w:t>U spalovacích zařízení s tepelným příkonem vyšším než 1 MW, avšak pod prahovými hodnotami platnými pro závěry o nejlepších dostupných technikách pro velká spalovací zařízení, jsou emise pod mezními hodnotami emisí stanovenými v příloze II části 2 směrnice (EU) 2015/2193.</w:t>
            </w:r>
          </w:p>
        </w:tc>
        <w:tc>
          <w:tcPr>
            <w:tcW w:w="4536" w:type="dxa"/>
            <w:shd w:val="clear" w:color="auto" w:fill="auto"/>
            <w:noWrap/>
            <w:vAlign w:val="bottom"/>
          </w:tcPr>
          <w:p w14:paraId="1B6E6A6B" w14:textId="77777777" w:rsidR="009B41B5" w:rsidRPr="00613AC5" w:rsidRDefault="009B41B5" w:rsidP="006361DB">
            <w:pPr>
              <w:spacing w:after="0" w:line="240" w:lineRule="auto"/>
              <w:rPr>
                <w:rFonts w:ascii="Calibri" w:eastAsia="Times New Roman" w:hAnsi="Calibri" w:cs="Calibri"/>
                <w:color w:val="000000"/>
                <w:lang w:eastAsia="cs-CZ"/>
              </w:rPr>
            </w:pPr>
          </w:p>
        </w:tc>
        <w:tc>
          <w:tcPr>
            <w:tcW w:w="3152" w:type="dxa"/>
            <w:shd w:val="clear" w:color="auto" w:fill="auto"/>
            <w:noWrap/>
            <w:vAlign w:val="bottom"/>
          </w:tcPr>
          <w:p w14:paraId="75F55D4A" w14:textId="77777777" w:rsidR="009B41B5" w:rsidRPr="00613AC5" w:rsidRDefault="009B41B5" w:rsidP="006361DB">
            <w:pPr>
              <w:spacing w:after="0" w:line="240" w:lineRule="auto"/>
              <w:rPr>
                <w:rFonts w:ascii="Calibri" w:eastAsia="Times New Roman" w:hAnsi="Calibri" w:cs="Calibri"/>
                <w:color w:val="000000"/>
                <w:lang w:eastAsia="cs-CZ"/>
              </w:rPr>
            </w:pPr>
          </w:p>
        </w:tc>
      </w:tr>
      <w:tr w:rsidR="00C83426" w:rsidRPr="00613AC5" w14:paraId="479A0001" w14:textId="77777777" w:rsidTr="008C2114">
        <w:trPr>
          <w:trHeight w:val="933"/>
        </w:trPr>
        <w:tc>
          <w:tcPr>
            <w:tcW w:w="7366" w:type="dxa"/>
            <w:shd w:val="clear" w:color="auto" w:fill="auto"/>
            <w:vAlign w:val="bottom"/>
          </w:tcPr>
          <w:p w14:paraId="255C7E75" w14:textId="315D5C7B" w:rsidR="00C83426" w:rsidRPr="00613AC5" w:rsidRDefault="001A7BCD" w:rsidP="00F0648F">
            <w:pPr>
              <w:pStyle w:val="Odstavecseseznamem"/>
              <w:numPr>
                <w:ilvl w:val="0"/>
                <w:numId w:val="40"/>
              </w:numPr>
              <w:spacing w:before="80" w:after="80"/>
              <w:jc w:val="both"/>
              <w:rPr>
                <w:rFonts w:ascii="Calibri" w:eastAsia="Times New Roman" w:hAnsi="Calibri" w:cs="Calibri"/>
                <w:color w:val="000000"/>
                <w:lang w:eastAsia="cs-CZ"/>
              </w:rPr>
            </w:pPr>
            <w:r w:rsidRPr="00613AC5">
              <w:rPr>
                <w:rFonts w:ascii="Calibri" w:eastAsia="Times New Roman" w:hAnsi="Calibri" w:cs="Calibri"/>
                <w:color w:val="000000"/>
                <w:lang w:eastAsia="cs-CZ"/>
              </w:rPr>
              <w:t>Pokud jsou absolutní</w:t>
            </w:r>
            <w:r w:rsidRPr="00613AC5">
              <w:rPr>
                <w:vertAlign w:val="superscript"/>
              </w:rPr>
              <w:footnoteReference w:id="2"/>
            </w:r>
            <w:r w:rsidRPr="00613AC5">
              <w:rPr>
                <w:rFonts w:ascii="Calibri" w:eastAsia="Times New Roman" w:hAnsi="Calibri" w:cs="Calibri"/>
                <w:color w:val="000000"/>
                <w:lang w:eastAsia="cs-CZ"/>
              </w:rPr>
              <w:t xml:space="preserve"> anebo relativní</w:t>
            </w:r>
            <w:r w:rsidRPr="00613AC5">
              <w:rPr>
                <w:vertAlign w:val="superscript"/>
              </w:rPr>
              <w:footnoteReference w:id="3"/>
            </w:r>
            <w:r w:rsidRPr="00613AC5">
              <w:rPr>
                <w:rFonts w:ascii="Calibri" w:eastAsia="Times New Roman" w:hAnsi="Calibri" w:cs="Calibri"/>
                <w:color w:val="000000"/>
                <w:vertAlign w:val="superscript"/>
                <w:lang w:eastAsia="cs-CZ"/>
              </w:rPr>
              <w:t xml:space="preserve"> </w:t>
            </w:r>
            <w:r w:rsidRPr="00613AC5">
              <w:rPr>
                <w:rFonts w:ascii="Calibri" w:eastAsia="Times New Roman" w:hAnsi="Calibri" w:cs="Calibri"/>
                <w:color w:val="000000"/>
                <w:lang w:eastAsia="cs-CZ"/>
              </w:rPr>
              <w:t xml:space="preserve">emise vyšší než 20 000 tun CO2 </w:t>
            </w:r>
            <w:proofErr w:type="spellStart"/>
            <w:r w:rsidRPr="00613AC5">
              <w:rPr>
                <w:rFonts w:ascii="Calibri" w:eastAsia="Times New Roman" w:hAnsi="Calibri" w:cs="Calibri"/>
                <w:color w:val="000000"/>
                <w:lang w:eastAsia="cs-CZ"/>
              </w:rPr>
              <w:t>ekv</w:t>
            </w:r>
            <w:proofErr w:type="spellEnd"/>
            <w:r w:rsidRPr="00613AC5">
              <w:rPr>
                <w:rFonts w:ascii="Calibri" w:eastAsia="Times New Roman" w:hAnsi="Calibri" w:cs="Calibri"/>
                <w:color w:val="000000"/>
                <w:lang w:eastAsia="cs-CZ"/>
              </w:rPr>
              <w:t>./rok, tak je nutné stanovit uhlíkovou stopu podle sdělení Evropské komise 2021/C373/01 (Technické pokyny k provádění infrastruktury z hlediska klimatického dopadu v období 2021-2027).</w:t>
            </w:r>
          </w:p>
        </w:tc>
        <w:tc>
          <w:tcPr>
            <w:tcW w:w="4536" w:type="dxa"/>
            <w:shd w:val="clear" w:color="auto" w:fill="auto"/>
            <w:noWrap/>
            <w:vAlign w:val="bottom"/>
          </w:tcPr>
          <w:p w14:paraId="686C1263" w14:textId="77777777" w:rsidR="00C83426" w:rsidRPr="00613AC5" w:rsidRDefault="00C83426" w:rsidP="006361DB">
            <w:pPr>
              <w:spacing w:after="0" w:line="240" w:lineRule="auto"/>
              <w:rPr>
                <w:rFonts w:ascii="Calibri" w:eastAsia="Times New Roman" w:hAnsi="Calibri" w:cs="Calibri"/>
                <w:color w:val="000000"/>
                <w:lang w:eastAsia="cs-CZ"/>
              </w:rPr>
            </w:pPr>
          </w:p>
        </w:tc>
        <w:tc>
          <w:tcPr>
            <w:tcW w:w="3152" w:type="dxa"/>
            <w:shd w:val="clear" w:color="auto" w:fill="auto"/>
            <w:noWrap/>
            <w:vAlign w:val="bottom"/>
          </w:tcPr>
          <w:p w14:paraId="150A4F89" w14:textId="77777777" w:rsidR="00C83426" w:rsidRPr="00613AC5" w:rsidRDefault="00C83426" w:rsidP="006361DB">
            <w:pPr>
              <w:spacing w:after="0" w:line="240" w:lineRule="auto"/>
              <w:rPr>
                <w:rFonts w:ascii="Calibri" w:eastAsia="Times New Roman" w:hAnsi="Calibri" w:cs="Calibri"/>
                <w:color w:val="000000"/>
                <w:lang w:eastAsia="cs-CZ"/>
              </w:rPr>
            </w:pPr>
          </w:p>
        </w:tc>
      </w:tr>
    </w:tbl>
    <w:p w14:paraId="20FF4521" w14:textId="77777777" w:rsidR="0070324E" w:rsidRDefault="0070324E" w:rsidP="004631EE">
      <w:pPr>
        <w:jc w:val="right"/>
      </w:pPr>
    </w:p>
    <w:p w14:paraId="1144615A" w14:textId="1374D0C8" w:rsidR="004631EE" w:rsidRDefault="0070324E" w:rsidP="004631EE">
      <w:pPr>
        <w:jc w:val="right"/>
      </w:pPr>
      <w:r>
        <w:t>Datum a p</w:t>
      </w:r>
      <w:r w:rsidR="004631EE">
        <w:t>otvrzení energetického specialisty</w:t>
      </w:r>
    </w:p>
    <w:p w14:paraId="426B4C50" w14:textId="295B7500" w:rsidR="005C5926" w:rsidRDefault="005C5926" w:rsidP="004631EE">
      <w:pPr>
        <w:jc w:val="right"/>
      </w:pPr>
    </w:p>
    <w:p w14:paraId="34A455F8" w14:textId="1F82E430" w:rsidR="005C5926" w:rsidRDefault="005C5926" w:rsidP="004631EE">
      <w:pPr>
        <w:jc w:val="right"/>
      </w:pPr>
    </w:p>
    <w:p w14:paraId="0C053388" w14:textId="77777777" w:rsidR="000F6F41" w:rsidRDefault="000F6F41">
      <w:pPr>
        <w:spacing w:after="200" w:line="276" w:lineRule="auto"/>
        <w:rPr>
          <w:rFonts w:asciiTheme="majorHAnsi" w:hAnsiTheme="majorHAnsi"/>
          <w:b/>
          <w:sz w:val="28"/>
        </w:rPr>
      </w:pPr>
      <w:r>
        <w:rPr>
          <w:rFonts w:asciiTheme="majorHAnsi" w:hAnsiTheme="majorHAnsi"/>
          <w:b/>
          <w:sz w:val="28"/>
        </w:rPr>
        <w:br w:type="page"/>
      </w:r>
    </w:p>
    <w:p w14:paraId="1338D246" w14:textId="07586860" w:rsidR="005C5926" w:rsidRPr="00EE0433" w:rsidRDefault="004F3CFE" w:rsidP="005C5926">
      <w:pPr>
        <w:rPr>
          <w:b/>
          <w:i/>
          <w:iCs/>
          <w:color w:val="004B8D" w:themeColor="text2"/>
          <w:sz w:val="28"/>
          <w:szCs w:val="28"/>
        </w:rPr>
      </w:pPr>
      <w:r w:rsidRPr="00EE0433">
        <w:rPr>
          <w:b/>
          <w:i/>
          <w:iCs/>
          <w:color w:val="004B8D" w:themeColor="text2"/>
          <w:sz w:val="28"/>
          <w:szCs w:val="28"/>
        </w:rPr>
        <w:lastRenderedPageBreak/>
        <w:t>7</w:t>
      </w:r>
      <w:r w:rsidR="005C5926" w:rsidRPr="00EE0433">
        <w:rPr>
          <w:b/>
          <w:i/>
          <w:iCs/>
          <w:color w:val="004B8D" w:themeColor="text2"/>
          <w:sz w:val="28"/>
          <w:szCs w:val="28"/>
        </w:rPr>
        <w:t xml:space="preserve">.b – Výčet specifických podmínek </w:t>
      </w:r>
      <w:r w:rsidR="00B20A7C">
        <w:rPr>
          <w:b/>
          <w:i/>
          <w:iCs/>
          <w:color w:val="004B8D" w:themeColor="text2"/>
          <w:sz w:val="28"/>
          <w:szCs w:val="28"/>
        </w:rPr>
        <w:t>Výzvy</w:t>
      </w:r>
      <w:r w:rsidR="005C5926" w:rsidRPr="00EE0433">
        <w:rPr>
          <w:b/>
          <w:i/>
          <w:iCs/>
          <w:color w:val="004B8D" w:themeColor="text2"/>
          <w:sz w:val="28"/>
          <w:szCs w:val="28"/>
        </w:rPr>
        <w:t>, ke kterým se bude vyjadřovat žadatel</w:t>
      </w:r>
    </w:p>
    <w:tbl>
      <w:tblPr>
        <w:tblW w:w="14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2"/>
        <w:gridCol w:w="4922"/>
        <w:gridCol w:w="2762"/>
      </w:tblGrid>
      <w:tr w:rsidR="005C5926" w:rsidRPr="001D2C07" w14:paraId="68D9919B" w14:textId="77777777" w:rsidTr="007A07BA">
        <w:trPr>
          <w:trHeight w:val="983"/>
          <w:tblHeader/>
        </w:trPr>
        <w:tc>
          <w:tcPr>
            <w:tcW w:w="7122" w:type="dxa"/>
            <w:shd w:val="clear" w:color="auto" w:fill="A6A6A6" w:themeFill="background1" w:themeFillShade="A6"/>
            <w:noWrap/>
            <w:vAlign w:val="center"/>
          </w:tcPr>
          <w:p w14:paraId="05E77C09" w14:textId="77777777" w:rsidR="005C5926" w:rsidRPr="001D2C07" w:rsidRDefault="005C5926" w:rsidP="007A07BA">
            <w:pPr>
              <w:spacing w:after="0" w:line="240" w:lineRule="auto"/>
              <w:jc w:val="center"/>
              <w:rPr>
                <w:rFonts w:eastAsia="Times New Roman" w:cstheme="minorHAnsi"/>
                <w:b/>
                <w:bCs/>
                <w:color w:val="auto"/>
                <w:lang w:eastAsia="cs-CZ"/>
              </w:rPr>
            </w:pPr>
            <w:r w:rsidRPr="001D2C07">
              <w:rPr>
                <w:rFonts w:eastAsia="Times New Roman" w:cstheme="minorHAnsi"/>
                <w:b/>
                <w:bCs/>
                <w:color w:val="auto"/>
                <w:lang w:eastAsia="cs-CZ"/>
              </w:rPr>
              <w:t>Specifická podmínka programu</w:t>
            </w:r>
          </w:p>
        </w:tc>
        <w:tc>
          <w:tcPr>
            <w:tcW w:w="4922" w:type="dxa"/>
            <w:shd w:val="clear" w:color="auto" w:fill="A6A6A6" w:themeFill="background1" w:themeFillShade="A6"/>
            <w:noWrap/>
            <w:vAlign w:val="center"/>
          </w:tcPr>
          <w:p w14:paraId="1C8E1D05" w14:textId="77777777" w:rsidR="005C5926" w:rsidRPr="001D2C07" w:rsidRDefault="005C5926" w:rsidP="007A07BA">
            <w:pPr>
              <w:spacing w:after="0" w:line="240" w:lineRule="auto"/>
              <w:jc w:val="center"/>
              <w:rPr>
                <w:rFonts w:eastAsia="Times New Roman" w:cstheme="minorHAnsi"/>
                <w:b/>
                <w:bCs/>
                <w:color w:val="auto"/>
                <w:lang w:eastAsia="cs-CZ"/>
              </w:rPr>
            </w:pPr>
            <w:r w:rsidRPr="001D2C07">
              <w:rPr>
                <w:rFonts w:eastAsia="Times New Roman" w:cstheme="minorHAnsi"/>
                <w:b/>
                <w:bCs/>
                <w:color w:val="auto"/>
                <w:lang w:eastAsia="cs-CZ"/>
              </w:rPr>
              <w:t>Stanovisko žadatele tam, kde je to relevantní</w:t>
            </w:r>
            <w:r w:rsidRPr="001D2C07">
              <w:rPr>
                <w:rStyle w:val="Znakapoznpodarou"/>
                <w:rFonts w:eastAsia="Times New Roman" w:cstheme="minorHAnsi"/>
                <w:b/>
                <w:bCs/>
                <w:color w:val="auto"/>
                <w:lang w:eastAsia="cs-CZ"/>
              </w:rPr>
              <w:footnoteReference w:id="4"/>
            </w:r>
          </w:p>
        </w:tc>
        <w:tc>
          <w:tcPr>
            <w:tcW w:w="2762" w:type="dxa"/>
            <w:shd w:val="clear" w:color="auto" w:fill="A6A6A6" w:themeFill="background1" w:themeFillShade="A6"/>
            <w:noWrap/>
            <w:vAlign w:val="center"/>
          </w:tcPr>
          <w:p w14:paraId="12FC01B1" w14:textId="77777777" w:rsidR="005C5926" w:rsidRPr="001D2C07" w:rsidRDefault="005C5926" w:rsidP="007A07BA">
            <w:pPr>
              <w:spacing w:after="0" w:line="240" w:lineRule="auto"/>
              <w:jc w:val="center"/>
              <w:rPr>
                <w:rFonts w:eastAsia="Times New Roman" w:cstheme="minorHAnsi"/>
                <w:b/>
                <w:bCs/>
                <w:color w:val="auto"/>
                <w:lang w:eastAsia="cs-CZ"/>
              </w:rPr>
            </w:pPr>
            <w:r w:rsidRPr="001D2C07">
              <w:rPr>
                <w:rFonts w:eastAsia="Times New Roman" w:cstheme="minorHAnsi"/>
                <w:b/>
                <w:bCs/>
                <w:color w:val="auto"/>
                <w:lang w:eastAsia="cs-CZ"/>
              </w:rPr>
              <w:t>Splněno (ANO/NE/NERELEVANTNÍ</w:t>
            </w:r>
            <w:r w:rsidRPr="001D2C07">
              <w:rPr>
                <w:rFonts w:eastAsia="Times New Roman" w:cstheme="minorHAnsi"/>
                <w:b/>
                <w:bCs/>
                <w:color w:val="auto"/>
                <w:vertAlign w:val="superscript"/>
                <w:lang w:eastAsia="cs-CZ"/>
              </w:rPr>
              <w:t>1</w:t>
            </w:r>
            <w:r w:rsidRPr="001D2C07">
              <w:rPr>
                <w:rFonts w:eastAsia="Times New Roman" w:cstheme="minorHAnsi"/>
                <w:b/>
                <w:bCs/>
                <w:color w:val="auto"/>
                <w:lang w:eastAsia="cs-CZ"/>
              </w:rPr>
              <w:t>)</w:t>
            </w:r>
          </w:p>
        </w:tc>
      </w:tr>
      <w:tr w:rsidR="0085085E" w:rsidRPr="001D2C07" w14:paraId="5EEFC014" w14:textId="77777777" w:rsidTr="00566E6F">
        <w:trPr>
          <w:trHeight w:val="2044"/>
        </w:trPr>
        <w:tc>
          <w:tcPr>
            <w:tcW w:w="7122" w:type="dxa"/>
            <w:shd w:val="clear" w:color="auto" w:fill="auto"/>
            <w:noWrap/>
            <w:vAlign w:val="center"/>
          </w:tcPr>
          <w:p w14:paraId="187E2DAC" w14:textId="410F28F4" w:rsidR="0085085E" w:rsidRPr="001D2C07" w:rsidRDefault="0085085E" w:rsidP="00482A66">
            <w:pPr>
              <w:pStyle w:val="Odstavecseseznamem"/>
              <w:numPr>
                <w:ilvl w:val="0"/>
                <w:numId w:val="57"/>
              </w:numPr>
              <w:spacing w:before="80" w:after="80"/>
              <w:jc w:val="both"/>
              <w:rPr>
                <w:rFonts w:cstheme="minorHAnsi"/>
                <w:color w:val="000000"/>
              </w:rPr>
            </w:pPr>
            <w:r w:rsidRPr="001D2C07">
              <w:rPr>
                <w:rFonts w:eastAsia="Times New Roman" w:cstheme="minorHAnsi"/>
                <w:color w:val="000000"/>
                <w:lang w:eastAsia="cs-CZ"/>
              </w:rPr>
              <w:t xml:space="preserve">Úspory emisí skleníkových plynů jsou alespoň 80 % ve vztahu k metodice úspor emisí skleníkových plynů a k referenčnímu fosilnímu palivu stanovenému ve směrnici (EU) 2018/2001 ze dne 11. prosince 2018 o podpoře využívání energie z obnovitelných zdrojů ve znění směrnice (EU) 2024/1711 ze dne 13. června 2024 (dále také směrnice 2018/2001). </w:t>
            </w:r>
          </w:p>
        </w:tc>
        <w:tc>
          <w:tcPr>
            <w:tcW w:w="4922" w:type="dxa"/>
            <w:shd w:val="clear" w:color="auto" w:fill="auto"/>
            <w:noWrap/>
            <w:vAlign w:val="bottom"/>
          </w:tcPr>
          <w:p w14:paraId="3BAACC11" w14:textId="77777777" w:rsidR="0085085E" w:rsidRPr="001D2C07" w:rsidRDefault="0085085E" w:rsidP="007A07BA">
            <w:pPr>
              <w:spacing w:after="0" w:line="240" w:lineRule="auto"/>
              <w:rPr>
                <w:rFonts w:eastAsia="Times New Roman" w:cstheme="minorHAnsi"/>
                <w:color w:val="000000"/>
                <w:lang w:eastAsia="cs-CZ"/>
              </w:rPr>
            </w:pPr>
          </w:p>
        </w:tc>
        <w:tc>
          <w:tcPr>
            <w:tcW w:w="2762" w:type="dxa"/>
            <w:shd w:val="clear" w:color="auto" w:fill="auto"/>
            <w:noWrap/>
            <w:vAlign w:val="bottom"/>
          </w:tcPr>
          <w:p w14:paraId="226384F0" w14:textId="77777777" w:rsidR="0085085E" w:rsidRPr="001D2C07" w:rsidRDefault="0085085E" w:rsidP="007A07BA">
            <w:pPr>
              <w:spacing w:after="0" w:line="240" w:lineRule="auto"/>
              <w:rPr>
                <w:rFonts w:eastAsia="Times New Roman" w:cstheme="minorHAnsi"/>
                <w:color w:val="000000"/>
                <w:lang w:eastAsia="cs-CZ"/>
              </w:rPr>
            </w:pPr>
          </w:p>
        </w:tc>
      </w:tr>
      <w:tr w:rsidR="0085085E" w:rsidRPr="001D2C07" w14:paraId="48125DE6" w14:textId="77777777" w:rsidTr="007A07BA">
        <w:trPr>
          <w:trHeight w:val="582"/>
        </w:trPr>
        <w:tc>
          <w:tcPr>
            <w:tcW w:w="7122" w:type="dxa"/>
            <w:shd w:val="clear" w:color="auto" w:fill="auto"/>
            <w:noWrap/>
            <w:vAlign w:val="center"/>
          </w:tcPr>
          <w:p w14:paraId="6D1A241D" w14:textId="419B1B12" w:rsidR="0085085E" w:rsidRPr="001D2C07" w:rsidRDefault="0085085E" w:rsidP="001D2C07">
            <w:pPr>
              <w:pStyle w:val="Normlnweb"/>
              <w:numPr>
                <w:ilvl w:val="0"/>
                <w:numId w:val="57"/>
              </w:numPr>
              <w:spacing w:line="276" w:lineRule="auto"/>
              <w:jc w:val="both"/>
              <w:rPr>
                <w:rFonts w:asciiTheme="minorHAnsi" w:hAnsiTheme="minorHAnsi" w:cstheme="minorHAnsi"/>
                <w:color w:val="000000"/>
                <w:sz w:val="22"/>
                <w:szCs w:val="22"/>
              </w:rPr>
            </w:pPr>
            <w:r w:rsidRPr="001D2C07">
              <w:rPr>
                <w:rFonts w:asciiTheme="minorHAnsi" w:hAnsiTheme="minorHAnsi" w:cstheme="minorHAnsi"/>
                <w:color w:val="000000"/>
                <w:sz w:val="22"/>
                <w:szCs w:val="22"/>
              </w:rPr>
              <w:t xml:space="preserve">Splnění kritérií udržitelnosti podle směrnice 2018/2001. Audit kritérií udržitelnosti třetí stranou je povinný nad 5 MW jmenovitého tepelného příkonu v případě paliv z pevné biomasy. U projektu s jmenovitým tepelným příkonem 5 MW a nižším v případě paliv z pevné biomasy není audit třetí stranou vyžadován. Provozovatel projektu s tepelným příkonem 5 MW a nižším v případě pevné biomasy doloží zadavateli, že veškerá biomasa použitá v projektu splňuje kritéria udržitelnosti prohlášením dodavatele biomasy. Znamená to, že dodavatel biomasy musí poskytnout dokumentaci, že biomasa dodávaná do závodu je udržitelná, včetně certifikace třetí stranou. Certifikace provozovatele zařízení není vyžadována. Provozovatel dále uvede výpočet úspory skleníkových plynů (bez auditu třetí strany), </w:t>
            </w:r>
            <w:r w:rsidRPr="001D2C07">
              <w:rPr>
                <w:rFonts w:asciiTheme="minorHAnsi" w:hAnsiTheme="minorHAnsi" w:cstheme="minorHAnsi"/>
                <w:color w:val="000000"/>
                <w:sz w:val="22"/>
                <w:szCs w:val="22"/>
              </w:rPr>
              <w:lastRenderedPageBreak/>
              <w:t>který prokáže splnění úspor skleníkových plynů ve výši 80 % na zařízení, která jsou předmětem podpory.</w:t>
            </w:r>
          </w:p>
        </w:tc>
        <w:tc>
          <w:tcPr>
            <w:tcW w:w="4922" w:type="dxa"/>
            <w:shd w:val="clear" w:color="auto" w:fill="auto"/>
            <w:noWrap/>
            <w:vAlign w:val="bottom"/>
          </w:tcPr>
          <w:p w14:paraId="1EE8586F" w14:textId="77777777" w:rsidR="0085085E" w:rsidRPr="001D2C07" w:rsidRDefault="0085085E" w:rsidP="007A07BA">
            <w:pPr>
              <w:spacing w:after="0" w:line="240" w:lineRule="auto"/>
              <w:rPr>
                <w:rFonts w:eastAsia="Times New Roman" w:cstheme="minorHAnsi"/>
                <w:color w:val="000000"/>
                <w:lang w:eastAsia="cs-CZ"/>
              </w:rPr>
            </w:pPr>
          </w:p>
        </w:tc>
        <w:tc>
          <w:tcPr>
            <w:tcW w:w="2762" w:type="dxa"/>
            <w:shd w:val="clear" w:color="auto" w:fill="auto"/>
            <w:noWrap/>
            <w:vAlign w:val="bottom"/>
          </w:tcPr>
          <w:p w14:paraId="52956361" w14:textId="77777777" w:rsidR="0085085E" w:rsidRPr="001D2C07" w:rsidRDefault="0085085E" w:rsidP="007A07BA">
            <w:pPr>
              <w:spacing w:after="0" w:line="240" w:lineRule="auto"/>
              <w:rPr>
                <w:rFonts w:eastAsia="Times New Roman" w:cstheme="minorHAnsi"/>
                <w:color w:val="000000"/>
                <w:lang w:eastAsia="cs-CZ"/>
              </w:rPr>
            </w:pPr>
          </w:p>
        </w:tc>
      </w:tr>
      <w:tr w:rsidR="00EA2ADA" w:rsidRPr="001D2C07" w14:paraId="1AD29345" w14:textId="77777777" w:rsidTr="007A07BA">
        <w:trPr>
          <w:trHeight w:val="582"/>
        </w:trPr>
        <w:tc>
          <w:tcPr>
            <w:tcW w:w="7122" w:type="dxa"/>
            <w:shd w:val="clear" w:color="auto" w:fill="auto"/>
            <w:noWrap/>
            <w:vAlign w:val="center"/>
          </w:tcPr>
          <w:p w14:paraId="05596A14" w14:textId="56078218" w:rsidR="00EA2ADA" w:rsidRPr="001D2C07" w:rsidRDefault="00E56C3B" w:rsidP="001D2C07">
            <w:pPr>
              <w:pStyle w:val="Normlnweb"/>
              <w:spacing w:line="276" w:lineRule="auto"/>
              <w:ind w:left="776" w:hanging="369"/>
              <w:jc w:val="both"/>
              <w:rPr>
                <w:rFonts w:asciiTheme="minorHAnsi" w:hAnsiTheme="minorHAnsi" w:cstheme="minorHAnsi"/>
                <w:color w:val="000000"/>
                <w:sz w:val="22"/>
                <w:szCs w:val="22"/>
              </w:rPr>
            </w:pPr>
            <w:r w:rsidRPr="001D2C07">
              <w:rPr>
                <w:rFonts w:asciiTheme="minorHAnsi" w:hAnsiTheme="minorHAnsi" w:cstheme="minorHAnsi"/>
                <w:color w:val="000000"/>
                <w:sz w:val="22"/>
                <w:szCs w:val="22"/>
              </w:rPr>
              <w:t xml:space="preserve">c) </w:t>
            </w:r>
            <w:r w:rsidR="00995BD1" w:rsidRPr="001D2C07">
              <w:rPr>
                <w:rFonts w:asciiTheme="minorHAnsi" w:hAnsiTheme="minorHAnsi" w:cstheme="minorHAnsi"/>
                <w:color w:val="000000"/>
                <w:sz w:val="22"/>
                <w:szCs w:val="22"/>
              </w:rPr>
              <w:t xml:space="preserve">  </w:t>
            </w:r>
            <w:r w:rsidR="00EA2ADA" w:rsidRPr="001D2C07">
              <w:rPr>
                <w:rFonts w:asciiTheme="minorHAnsi" w:hAnsiTheme="minorHAnsi" w:cstheme="minorHAnsi"/>
                <w:color w:val="000000"/>
                <w:sz w:val="22"/>
                <w:szCs w:val="22"/>
              </w:rPr>
              <w:t xml:space="preserve">Výrobce energie z biomasy a dovozce, výrobce nebo dodavatel paliv z biomasy v zařízeních vyrábějící elektřinu, </w:t>
            </w:r>
            <w:r w:rsidR="006106DC" w:rsidRPr="001D2C07">
              <w:rPr>
                <w:rFonts w:asciiTheme="minorHAnsi" w:hAnsiTheme="minorHAnsi" w:cstheme="minorHAnsi"/>
                <w:color w:val="000000"/>
                <w:sz w:val="22"/>
                <w:szCs w:val="22"/>
              </w:rPr>
              <w:t xml:space="preserve">teplo </w:t>
            </w:r>
            <w:r w:rsidR="00EA2ADA" w:rsidRPr="001D2C07">
              <w:rPr>
                <w:rFonts w:asciiTheme="minorHAnsi" w:hAnsiTheme="minorHAnsi" w:cstheme="minorHAnsi"/>
                <w:color w:val="000000"/>
                <w:sz w:val="22"/>
                <w:szCs w:val="22"/>
              </w:rPr>
              <w:t xml:space="preserve">a </w:t>
            </w:r>
            <w:r w:rsidR="006106DC" w:rsidRPr="001D2C07">
              <w:rPr>
                <w:rFonts w:asciiTheme="minorHAnsi" w:hAnsiTheme="minorHAnsi" w:cstheme="minorHAnsi"/>
                <w:color w:val="000000"/>
                <w:sz w:val="22"/>
                <w:szCs w:val="22"/>
              </w:rPr>
              <w:t xml:space="preserve">chlad </w:t>
            </w:r>
            <w:r w:rsidR="00EA2ADA" w:rsidRPr="001D2C07">
              <w:rPr>
                <w:rFonts w:asciiTheme="minorHAnsi" w:hAnsiTheme="minorHAnsi" w:cstheme="minorHAnsi"/>
                <w:color w:val="000000"/>
                <w:sz w:val="22"/>
                <w:szCs w:val="22"/>
              </w:rPr>
              <w:t>dokládají splnění kritérií udržitelnosti a úspor emisí skleníkových plynů dokladem vydaným v souladu s rozhodnutím podle čl. 30 směrnice 2018/2001/EU. Bude doloženo společně se zprávami o udržitelnosti projektu (</w:t>
            </w:r>
            <w:proofErr w:type="spellStart"/>
            <w:r w:rsidR="00EA2ADA" w:rsidRPr="001D2C07">
              <w:rPr>
                <w:rFonts w:asciiTheme="minorHAnsi" w:hAnsiTheme="minorHAnsi" w:cstheme="minorHAnsi"/>
                <w:color w:val="000000"/>
                <w:sz w:val="22"/>
                <w:szCs w:val="22"/>
              </w:rPr>
              <w:t>ZoU</w:t>
            </w:r>
            <w:proofErr w:type="spellEnd"/>
            <w:r w:rsidR="00EA2ADA" w:rsidRPr="001D2C07">
              <w:rPr>
                <w:rFonts w:asciiTheme="minorHAnsi" w:hAnsiTheme="minorHAnsi" w:cstheme="minorHAnsi"/>
                <w:color w:val="000000"/>
                <w:sz w:val="22"/>
                <w:szCs w:val="22"/>
              </w:rPr>
              <w:t>).</w:t>
            </w:r>
            <w:r w:rsidR="009E5A86" w:rsidRPr="001D2C07">
              <w:rPr>
                <w:rFonts w:asciiTheme="minorHAnsi" w:hAnsiTheme="minorHAnsi" w:cstheme="minorHAnsi"/>
                <w:color w:val="000000"/>
                <w:sz w:val="22"/>
                <w:szCs w:val="22"/>
              </w:rPr>
              <w:t xml:space="preserve"> Příjemce dotace na veškerou biomasu prokáže certifikát o udržitelnosti, tzv. </w:t>
            </w:r>
            <w:proofErr w:type="spellStart"/>
            <w:r w:rsidR="009E5A86" w:rsidRPr="001D2C07">
              <w:rPr>
                <w:rFonts w:asciiTheme="minorHAnsi" w:hAnsiTheme="minorHAnsi" w:cstheme="minorHAnsi"/>
                <w:color w:val="000000"/>
                <w:sz w:val="22"/>
                <w:szCs w:val="22"/>
              </w:rPr>
              <w:t>proof</w:t>
            </w:r>
            <w:proofErr w:type="spellEnd"/>
            <w:r w:rsidR="009E5A86" w:rsidRPr="001D2C07">
              <w:rPr>
                <w:rFonts w:asciiTheme="minorHAnsi" w:hAnsiTheme="minorHAnsi" w:cstheme="minorHAnsi"/>
                <w:color w:val="000000"/>
                <w:sz w:val="22"/>
                <w:szCs w:val="22"/>
              </w:rPr>
              <w:t xml:space="preserve"> </w:t>
            </w:r>
            <w:proofErr w:type="spellStart"/>
            <w:r w:rsidR="009E5A86" w:rsidRPr="001D2C07">
              <w:rPr>
                <w:rFonts w:asciiTheme="minorHAnsi" w:hAnsiTheme="minorHAnsi" w:cstheme="minorHAnsi"/>
                <w:color w:val="000000"/>
                <w:sz w:val="22"/>
                <w:szCs w:val="22"/>
              </w:rPr>
              <w:t>of</w:t>
            </w:r>
            <w:proofErr w:type="spellEnd"/>
            <w:r w:rsidR="009E5A86" w:rsidRPr="001D2C07">
              <w:rPr>
                <w:rFonts w:asciiTheme="minorHAnsi" w:hAnsiTheme="minorHAnsi" w:cstheme="minorHAnsi"/>
                <w:color w:val="000000"/>
                <w:sz w:val="22"/>
                <w:szCs w:val="22"/>
              </w:rPr>
              <w:t xml:space="preserve"> </w:t>
            </w:r>
            <w:proofErr w:type="spellStart"/>
            <w:r w:rsidR="009E5A86" w:rsidRPr="001D2C07">
              <w:rPr>
                <w:rFonts w:asciiTheme="minorHAnsi" w:hAnsiTheme="minorHAnsi" w:cstheme="minorHAnsi"/>
                <w:color w:val="000000"/>
                <w:sz w:val="22"/>
                <w:szCs w:val="22"/>
              </w:rPr>
              <w:t>sustainability</w:t>
            </w:r>
            <w:proofErr w:type="spellEnd"/>
            <w:r w:rsidR="009E5A86" w:rsidRPr="001D2C07">
              <w:rPr>
                <w:rFonts w:asciiTheme="minorHAnsi" w:hAnsiTheme="minorHAnsi" w:cstheme="minorHAnsi"/>
                <w:color w:val="000000"/>
                <w:sz w:val="22"/>
                <w:szCs w:val="22"/>
              </w:rPr>
              <w:t xml:space="preserve"> dobrovolných schémat kritérií udržitelnosti jako např. KZR </w:t>
            </w:r>
            <w:proofErr w:type="spellStart"/>
            <w:r w:rsidR="009E5A86" w:rsidRPr="001D2C07">
              <w:rPr>
                <w:rFonts w:asciiTheme="minorHAnsi" w:hAnsiTheme="minorHAnsi" w:cstheme="minorHAnsi"/>
                <w:color w:val="000000"/>
                <w:sz w:val="22"/>
                <w:szCs w:val="22"/>
              </w:rPr>
              <w:t>INiG</w:t>
            </w:r>
            <w:proofErr w:type="spellEnd"/>
            <w:r w:rsidR="009E5A86" w:rsidRPr="001D2C07">
              <w:rPr>
                <w:rFonts w:asciiTheme="minorHAnsi" w:hAnsiTheme="minorHAnsi" w:cstheme="minorHAnsi"/>
                <w:color w:val="000000"/>
                <w:sz w:val="22"/>
                <w:szCs w:val="22"/>
              </w:rPr>
              <w:t>, SURE nebo ISCC na vyrobenou energii z tohoto zařízení.</w:t>
            </w:r>
            <w:r w:rsidR="00724326" w:rsidRPr="001D2C07">
              <w:rPr>
                <w:rFonts w:asciiTheme="minorHAnsi" w:hAnsiTheme="minorHAnsi" w:cstheme="minorHAnsi"/>
                <w:color w:val="000000"/>
                <w:sz w:val="22"/>
                <w:szCs w:val="22"/>
              </w:rPr>
              <w:t xml:space="preserve"> </w:t>
            </w:r>
            <w:r w:rsidR="009E5A86" w:rsidRPr="001D2C07">
              <w:rPr>
                <w:rFonts w:asciiTheme="minorHAnsi" w:hAnsiTheme="minorHAnsi" w:cstheme="minorHAnsi"/>
                <w:sz w:val="22"/>
                <w:szCs w:val="22"/>
              </w:rPr>
              <w:t xml:space="preserve">Pokud je </w:t>
            </w:r>
            <w:r w:rsidRPr="001D2C07">
              <w:rPr>
                <w:rFonts w:asciiTheme="minorHAnsi" w:hAnsiTheme="minorHAnsi" w:cstheme="minorHAnsi"/>
                <w:sz w:val="22"/>
                <w:szCs w:val="22"/>
              </w:rPr>
              <w:t xml:space="preserve">celkový jmenovitý </w:t>
            </w:r>
            <w:r w:rsidR="009E5A86" w:rsidRPr="001D2C07">
              <w:rPr>
                <w:rFonts w:asciiTheme="minorHAnsi" w:hAnsiTheme="minorHAnsi" w:cstheme="minorHAnsi"/>
                <w:sz w:val="22"/>
                <w:szCs w:val="22"/>
              </w:rPr>
              <w:t xml:space="preserve">instalovaný tepelný příkon předmětu dotace vyšší než 5 MW u pevné biomasy nebo 2 MW u plynné biomasy je příjemce dotace povinen po celou dobu udržitelnosti plnit kritéria udržitelnosti, dokládá se pomocí </w:t>
            </w:r>
            <w:proofErr w:type="gramStart"/>
            <w:r w:rsidR="009E5A86" w:rsidRPr="001D2C07">
              <w:rPr>
                <w:rFonts w:asciiTheme="minorHAnsi" w:hAnsiTheme="minorHAnsi" w:cstheme="minorHAnsi"/>
                <w:sz w:val="22"/>
                <w:szCs w:val="22"/>
              </w:rPr>
              <w:t>certifikátu  o</w:t>
            </w:r>
            <w:proofErr w:type="gramEnd"/>
            <w:r w:rsidR="009E5A86" w:rsidRPr="001D2C07">
              <w:rPr>
                <w:rFonts w:asciiTheme="minorHAnsi" w:hAnsiTheme="minorHAnsi" w:cstheme="minorHAnsi"/>
                <w:sz w:val="22"/>
                <w:szCs w:val="22"/>
              </w:rPr>
              <w:t xml:space="preserve"> </w:t>
            </w:r>
            <w:proofErr w:type="spellStart"/>
            <w:r w:rsidR="009E5A86" w:rsidRPr="001D2C07">
              <w:rPr>
                <w:rFonts w:asciiTheme="minorHAnsi" w:hAnsiTheme="minorHAnsi" w:cstheme="minorHAnsi"/>
                <w:sz w:val="22"/>
                <w:szCs w:val="22"/>
              </w:rPr>
              <w:t>udržitlenosti</w:t>
            </w:r>
            <w:proofErr w:type="spellEnd"/>
            <w:r w:rsidR="009E5A86" w:rsidRPr="001D2C07">
              <w:rPr>
                <w:rFonts w:asciiTheme="minorHAnsi" w:hAnsiTheme="minorHAnsi" w:cstheme="minorHAnsi"/>
                <w:sz w:val="22"/>
                <w:szCs w:val="22"/>
              </w:rPr>
              <w:t xml:space="preserve">, tzv. </w:t>
            </w:r>
            <w:proofErr w:type="spellStart"/>
            <w:r w:rsidR="009E5A86" w:rsidRPr="001D2C07">
              <w:rPr>
                <w:rFonts w:asciiTheme="minorHAnsi" w:hAnsiTheme="minorHAnsi" w:cstheme="minorHAnsi"/>
                <w:sz w:val="22"/>
                <w:szCs w:val="22"/>
              </w:rPr>
              <w:t>proof</w:t>
            </w:r>
            <w:proofErr w:type="spellEnd"/>
            <w:r w:rsidR="009E5A86" w:rsidRPr="001D2C07">
              <w:rPr>
                <w:rFonts w:asciiTheme="minorHAnsi" w:hAnsiTheme="minorHAnsi" w:cstheme="minorHAnsi"/>
                <w:sz w:val="22"/>
                <w:szCs w:val="22"/>
              </w:rPr>
              <w:t xml:space="preserve"> </w:t>
            </w:r>
            <w:proofErr w:type="spellStart"/>
            <w:r w:rsidR="009E5A86" w:rsidRPr="001D2C07">
              <w:rPr>
                <w:rFonts w:asciiTheme="minorHAnsi" w:hAnsiTheme="minorHAnsi" w:cstheme="minorHAnsi"/>
                <w:sz w:val="22"/>
                <w:szCs w:val="22"/>
              </w:rPr>
              <w:t>of</w:t>
            </w:r>
            <w:proofErr w:type="spellEnd"/>
            <w:r w:rsidR="009E5A86" w:rsidRPr="001D2C07">
              <w:rPr>
                <w:rFonts w:asciiTheme="minorHAnsi" w:hAnsiTheme="minorHAnsi" w:cstheme="minorHAnsi"/>
                <w:sz w:val="22"/>
                <w:szCs w:val="22"/>
              </w:rPr>
              <w:t xml:space="preserve"> </w:t>
            </w:r>
            <w:proofErr w:type="spellStart"/>
            <w:r w:rsidR="009E5A86" w:rsidRPr="001D2C07">
              <w:rPr>
                <w:rFonts w:asciiTheme="minorHAnsi" w:hAnsiTheme="minorHAnsi" w:cstheme="minorHAnsi"/>
                <w:sz w:val="22"/>
                <w:szCs w:val="22"/>
              </w:rPr>
              <w:t>sustainability</w:t>
            </w:r>
            <w:proofErr w:type="spellEnd"/>
            <w:r w:rsidR="009E5A86" w:rsidRPr="001D2C07">
              <w:rPr>
                <w:rFonts w:asciiTheme="minorHAnsi" w:hAnsiTheme="minorHAnsi" w:cstheme="minorHAnsi"/>
                <w:sz w:val="22"/>
                <w:szCs w:val="22"/>
              </w:rPr>
              <w:t xml:space="preserve"> dobrovolných schémat kritérií udržitelnosti jako např. KZR </w:t>
            </w:r>
            <w:proofErr w:type="spellStart"/>
            <w:r w:rsidR="009E5A86" w:rsidRPr="001D2C07">
              <w:rPr>
                <w:rFonts w:asciiTheme="minorHAnsi" w:hAnsiTheme="minorHAnsi" w:cstheme="minorHAnsi"/>
                <w:sz w:val="22"/>
                <w:szCs w:val="22"/>
              </w:rPr>
              <w:t>INiG</w:t>
            </w:r>
            <w:proofErr w:type="spellEnd"/>
            <w:r w:rsidR="009E5A86" w:rsidRPr="001D2C07">
              <w:rPr>
                <w:rFonts w:asciiTheme="minorHAnsi" w:hAnsiTheme="minorHAnsi" w:cstheme="minorHAnsi"/>
                <w:sz w:val="22"/>
                <w:szCs w:val="22"/>
              </w:rPr>
              <w:t>, SURE nebo ISCC na vyrobenou energii z tohoto zařízení.</w:t>
            </w:r>
          </w:p>
        </w:tc>
        <w:tc>
          <w:tcPr>
            <w:tcW w:w="4922" w:type="dxa"/>
            <w:shd w:val="clear" w:color="auto" w:fill="auto"/>
            <w:noWrap/>
            <w:vAlign w:val="bottom"/>
          </w:tcPr>
          <w:p w14:paraId="52474719" w14:textId="77777777" w:rsidR="00EA2ADA" w:rsidRPr="001D2C07" w:rsidRDefault="00EA2ADA" w:rsidP="007A07BA">
            <w:pPr>
              <w:spacing w:after="0" w:line="240" w:lineRule="auto"/>
              <w:rPr>
                <w:rFonts w:eastAsia="Times New Roman" w:cstheme="minorHAnsi"/>
                <w:color w:val="000000"/>
                <w:lang w:eastAsia="cs-CZ"/>
              </w:rPr>
            </w:pPr>
          </w:p>
        </w:tc>
        <w:tc>
          <w:tcPr>
            <w:tcW w:w="2762" w:type="dxa"/>
            <w:shd w:val="clear" w:color="auto" w:fill="auto"/>
            <w:noWrap/>
            <w:vAlign w:val="bottom"/>
          </w:tcPr>
          <w:p w14:paraId="137F6F03" w14:textId="77777777" w:rsidR="00EA2ADA" w:rsidRPr="001D2C07" w:rsidRDefault="00EA2ADA" w:rsidP="007A07BA">
            <w:pPr>
              <w:spacing w:after="0" w:line="240" w:lineRule="auto"/>
              <w:rPr>
                <w:rFonts w:eastAsia="Times New Roman" w:cstheme="minorHAnsi"/>
                <w:color w:val="000000"/>
                <w:lang w:eastAsia="cs-CZ"/>
              </w:rPr>
            </w:pPr>
          </w:p>
        </w:tc>
      </w:tr>
      <w:tr w:rsidR="004842A0" w:rsidRPr="001D2C07" w14:paraId="59CE9026" w14:textId="77777777" w:rsidTr="007A07BA">
        <w:trPr>
          <w:trHeight w:val="582"/>
        </w:trPr>
        <w:tc>
          <w:tcPr>
            <w:tcW w:w="7122" w:type="dxa"/>
            <w:shd w:val="clear" w:color="auto" w:fill="auto"/>
            <w:noWrap/>
            <w:vAlign w:val="center"/>
          </w:tcPr>
          <w:p w14:paraId="256C6011" w14:textId="41272275" w:rsidR="004842A0" w:rsidRPr="001D2C07" w:rsidRDefault="00566E6F" w:rsidP="00995BD1">
            <w:pPr>
              <w:pStyle w:val="Odstavecseseznamem"/>
              <w:spacing w:after="200" w:line="276" w:lineRule="auto"/>
              <w:ind w:hanging="369"/>
              <w:jc w:val="both"/>
              <w:rPr>
                <w:rFonts w:cstheme="minorHAnsi"/>
                <w:color w:val="13B5EA" w:themeColor="accent6"/>
              </w:rPr>
            </w:pPr>
            <w:r w:rsidRPr="001D2C07">
              <w:rPr>
                <w:rFonts w:eastAsia="Times New Roman" w:cstheme="minorHAnsi"/>
                <w:color w:val="auto"/>
                <w:lang w:eastAsia="cs-CZ"/>
              </w:rPr>
              <w:t xml:space="preserve">d) </w:t>
            </w:r>
            <w:r w:rsidR="00995BD1" w:rsidRPr="001D2C07">
              <w:rPr>
                <w:rFonts w:eastAsia="Times New Roman" w:cstheme="minorHAnsi"/>
                <w:color w:val="auto"/>
                <w:lang w:eastAsia="cs-CZ"/>
              </w:rPr>
              <w:t xml:space="preserve"> </w:t>
            </w:r>
            <w:r w:rsidR="004842A0" w:rsidRPr="001D2C07">
              <w:rPr>
                <w:rFonts w:eastAsia="Times New Roman" w:cstheme="minorHAnsi"/>
                <w:color w:val="auto"/>
                <w:lang w:eastAsia="cs-CZ"/>
              </w:rPr>
              <w:t xml:space="preserve">Pokud příjemce používá </w:t>
            </w:r>
            <w:r w:rsidRPr="001D2C07">
              <w:rPr>
                <w:rFonts w:eastAsia="Times New Roman" w:cstheme="minorHAnsi"/>
                <w:color w:val="auto"/>
                <w:lang w:eastAsia="cs-CZ"/>
              </w:rPr>
              <w:t>pevnou</w:t>
            </w:r>
            <w:r w:rsidR="004842A0" w:rsidRPr="001D2C07">
              <w:rPr>
                <w:rFonts w:eastAsia="Times New Roman" w:cstheme="minorHAnsi"/>
                <w:color w:val="auto"/>
                <w:lang w:eastAsia="cs-CZ"/>
              </w:rPr>
              <w:t xml:space="preserve"> </w:t>
            </w:r>
            <w:proofErr w:type="gramStart"/>
            <w:r w:rsidR="004842A0" w:rsidRPr="001D2C07">
              <w:rPr>
                <w:rFonts w:eastAsia="Times New Roman" w:cstheme="minorHAnsi"/>
                <w:color w:val="auto"/>
                <w:lang w:eastAsia="cs-CZ"/>
              </w:rPr>
              <w:t>biomas</w:t>
            </w:r>
            <w:r w:rsidRPr="001D2C07">
              <w:rPr>
                <w:rFonts w:eastAsia="Times New Roman" w:cstheme="minorHAnsi"/>
                <w:color w:val="auto"/>
                <w:lang w:eastAsia="cs-CZ"/>
              </w:rPr>
              <w:t xml:space="preserve">u </w:t>
            </w:r>
            <w:r w:rsidR="004842A0" w:rsidRPr="001D2C07">
              <w:rPr>
                <w:rFonts w:eastAsia="Times New Roman" w:cstheme="minorHAnsi"/>
                <w:color w:val="auto"/>
                <w:lang w:eastAsia="cs-CZ"/>
              </w:rPr>
              <w:t>,</w:t>
            </w:r>
            <w:proofErr w:type="gramEnd"/>
            <w:r w:rsidR="004842A0" w:rsidRPr="001D2C07">
              <w:rPr>
                <w:rFonts w:eastAsia="Times New Roman" w:cstheme="minorHAnsi"/>
                <w:color w:val="auto"/>
                <w:lang w:eastAsia="cs-CZ"/>
              </w:rPr>
              <w:t xml:space="preserve"> </w:t>
            </w:r>
            <w:r w:rsidRPr="001D2C07">
              <w:rPr>
                <w:rFonts w:eastAsia="Times New Roman" w:cstheme="minorHAnsi"/>
                <w:color w:val="auto"/>
                <w:lang w:eastAsia="cs-CZ"/>
              </w:rPr>
              <w:t xml:space="preserve">tak </w:t>
            </w:r>
            <w:r w:rsidR="004842A0" w:rsidRPr="001D2C07">
              <w:rPr>
                <w:rFonts w:eastAsia="Times New Roman" w:cstheme="minorHAnsi"/>
                <w:color w:val="auto"/>
                <w:lang w:eastAsia="cs-CZ"/>
              </w:rPr>
              <w:t xml:space="preserve">musí nejpozději k prvnímu podání žádosti o platbu, ve které jsou zahrnuty způsobilé výdaje na zdroj na biomasu, doložit provedení opatření k přizpůsobování se změnám klimatu a zavedení adaptačního opatření v podobě recyklace popela ze spalování biomasy zpět na ornou půdu. </w:t>
            </w:r>
            <w:r w:rsidR="004842A0" w:rsidRPr="001D2C07">
              <w:rPr>
                <w:rFonts w:eastAsia="Times New Roman" w:cstheme="minorHAnsi"/>
                <w:color w:val="auto"/>
                <w:lang w:eastAsia="cs-CZ"/>
              </w:rPr>
              <w:lastRenderedPageBreak/>
              <w:t xml:space="preserve">Uvedené příjemce doloží smlouvou o smlouvě budoucí/smlouvou na odběr popela se zemědělským podnikatelem. </w:t>
            </w:r>
          </w:p>
        </w:tc>
        <w:tc>
          <w:tcPr>
            <w:tcW w:w="4922" w:type="dxa"/>
            <w:shd w:val="clear" w:color="auto" w:fill="auto"/>
            <w:noWrap/>
            <w:vAlign w:val="bottom"/>
          </w:tcPr>
          <w:p w14:paraId="49AE3DB3" w14:textId="77777777" w:rsidR="004842A0" w:rsidRPr="001D2C07" w:rsidRDefault="004842A0" w:rsidP="007A07BA">
            <w:pPr>
              <w:spacing w:after="0" w:line="240" w:lineRule="auto"/>
              <w:rPr>
                <w:rFonts w:eastAsia="Times New Roman" w:cstheme="minorHAnsi"/>
                <w:color w:val="000000"/>
                <w:lang w:eastAsia="cs-CZ"/>
              </w:rPr>
            </w:pPr>
          </w:p>
        </w:tc>
        <w:tc>
          <w:tcPr>
            <w:tcW w:w="2762" w:type="dxa"/>
            <w:shd w:val="clear" w:color="auto" w:fill="auto"/>
            <w:noWrap/>
            <w:vAlign w:val="bottom"/>
          </w:tcPr>
          <w:p w14:paraId="3C81C77B" w14:textId="77777777" w:rsidR="004842A0" w:rsidRPr="001D2C07" w:rsidRDefault="004842A0" w:rsidP="007A07BA">
            <w:pPr>
              <w:spacing w:after="0" w:line="240" w:lineRule="auto"/>
              <w:rPr>
                <w:rFonts w:eastAsia="Times New Roman" w:cstheme="minorHAnsi"/>
                <w:color w:val="000000"/>
                <w:lang w:eastAsia="cs-CZ"/>
              </w:rPr>
            </w:pPr>
          </w:p>
        </w:tc>
      </w:tr>
      <w:tr w:rsidR="005C5926" w:rsidRPr="001D2C07" w14:paraId="1A4E4589" w14:textId="77777777" w:rsidTr="007A07BA">
        <w:trPr>
          <w:trHeight w:val="582"/>
        </w:trPr>
        <w:tc>
          <w:tcPr>
            <w:tcW w:w="7122" w:type="dxa"/>
            <w:shd w:val="clear" w:color="auto" w:fill="auto"/>
            <w:noWrap/>
            <w:vAlign w:val="center"/>
          </w:tcPr>
          <w:p w14:paraId="292AA50E" w14:textId="77777777" w:rsidR="005C5926" w:rsidRPr="001D2C07" w:rsidRDefault="005C5926" w:rsidP="00566E6F">
            <w:pPr>
              <w:pStyle w:val="Odstavecseseznamem"/>
              <w:numPr>
                <w:ilvl w:val="0"/>
                <w:numId w:val="55"/>
              </w:numPr>
              <w:spacing w:after="0" w:line="240" w:lineRule="auto"/>
              <w:jc w:val="both"/>
              <w:rPr>
                <w:rFonts w:eastAsia="Times New Roman" w:cstheme="minorHAnsi"/>
                <w:color w:val="000000"/>
                <w:lang w:eastAsia="cs-CZ"/>
              </w:rPr>
            </w:pPr>
            <w:r w:rsidRPr="001D2C07">
              <w:rPr>
                <w:rFonts w:eastAsia="Times New Roman" w:cstheme="minorHAnsi"/>
                <w:color w:val="000000"/>
                <w:lang w:eastAsia="cs-CZ"/>
              </w:rPr>
              <w:t>Žadatel o podporu není provozovatel stacionárního zařízení v České republice, která jsou součástí Evropského systému emisního obchodování.</w:t>
            </w:r>
          </w:p>
        </w:tc>
        <w:tc>
          <w:tcPr>
            <w:tcW w:w="4922" w:type="dxa"/>
            <w:shd w:val="clear" w:color="auto" w:fill="auto"/>
            <w:noWrap/>
            <w:vAlign w:val="bottom"/>
          </w:tcPr>
          <w:p w14:paraId="640AC401" w14:textId="77777777" w:rsidR="005C5926" w:rsidRPr="001D2C07" w:rsidRDefault="005C5926" w:rsidP="007A07BA">
            <w:pPr>
              <w:spacing w:after="0" w:line="240" w:lineRule="auto"/>
              <w:rPr>
                <w:rFonts w:eastAsia="Times New Roman" w:cstheme="minorHAnsi"/>
                <w:color w:val="000000"/>
                <w:lang w:eastAsia="cs-CZ"/>
              </w:rPr>
            </w:pPr>
          </w:p>
        </w:tc>
        <w:tc>
          <w:tcPr>
            <w:tcW w:w="2762" w:type="dxa"/>
            <w:shd w:val="clear" w:color="auto" w:fill="auto"/>
            <w:noWrap/>
            <w:vAlign w:val="bottom"/>
          </w:tcPr>
          <w:p w14:paraId="0C0E43DE" w14:textId="77777777" w:rsidR="005C5926" w:rsidRPr="001D2C07" w:rsidRDefault="005C5926" w:rsidP="007A07BA">
            <w:pPr>
              <w:spacing w:after="0" w:line="240" w:lineRule="auto"/>
              <w:rPr>
                <w:rFonts w:eastAsia="Times New Roman" w:cstheme="minorHAnsi"/>
                <w:color w:val="000000"/>
                <w:lang w:eastAsia="cs-CZ"/>
              </w:rPr>
            </w:pPr>
          </w:p>
        </w:tc>
      </w:tr>
      <w:tr w:rsidR="005C5926" w:rsidRPr="001D2C07" w14:paraId="3FAD1897" w14:textId="77777777" w:rsidTr="007A07BA">
        <w:trPr>
          <w:trHeight w:val="582"/>
        </w:trPr>
        <w:tc>
          <w:tcPr>
            <w:tcW w:w="7122" w:type="dxa"/>
            <w:shd w:val="clear" w:color="auto" w:fill="auto"/>
            <w:noWrap/>
            <w:vAlign w:val="center"/>
          </w:tcPr>
          <w:p w14:paraId="47CE60DA" w14:textId="719E09E4" w:rsidR="005C5926" w:rsidRPr="001D2C07" w:rsidRDefault="005C5926" w:rsidP="00566E6F">
            <w:pPr>
              <w:pStyle w:val="Odstavecseseznamem"/>
              <w:numPr>
                <w:ilvl w:val="0"/>
                <w:numId w:val="55"/>
              </w:numPr>
              <w:spacing w:after="0" w:line="240" w:lineRule="auto"/>
              <w:jc w:val="both"/>
              <w:rPr>
                <w:rFonts w:eastAsia="Times New Roman" w:cstheme="minorHAnsi"/>
                <w:color w:val="000000"/>
                <w:lang w:eastAsia="cs-CZ"/>
              </w:rPr>
            </w:pPr>
            <w:r w:rsidRPr="001D2C07">
              <w:rPr>
                <w:rFonts w:eastAsia="Times New Roman" w:cstheme="minorHAnsi"/>
                <w:color w:val="000000"/>
                <w:lang w:eastAsia="cs-CZ"/>
              </w:rPr>
              <w:t>Pokud je žadatel o podporu provozovatel stacionárního zařízení v České republice, která jsou součástí Evropského systému emisního obchodování, tak se bude jednat o způsobilé opatření za předpokladu splnění podmínek uvedených v kapitole výzvy.</w:t>
            </w:r>
            <w:r w:rsidR="00D70927" w:rsidRPr="001D2C07">
              <w:rPr>
                <w:rStyle w:val="Znakapoznpodarou"/>
                <w:rFonts w:eastAsia="Times New Roman" w:cstheme="minorHAnsi"/>
                <w:color w:val="000000"/>
                <w:lang w:eastAsia="cs-CZ"/>
              </w:rPr>
              <w:footnoteReference w:id="5"/>
            </w:r>
          </w:p>
        </w:tc>
        <w:tc>
          <w:tcPr>
            <w:tcW w:w="4922" w:type="dxa"/>
            <w:shd w:val="clear" w:color="auto" w:fill="auto"/>
            <w:noWrap/>
            <w:vAlign w:val="bottom"/>
          </w:tcPr>
          <w:p w14:paraId="53665AFE" w14:textId="77777777" w:rsidR="005C5926" w:rsidRPr="001D2C07" w:rsidRDefault="005C5926" w:rsidP="007A07BA">
            <w:pPr>
              <w:spacing w:after="0" w:line="240" w:lineRule="auto"/>
              <w:rPr>
                <w:rFonts w:eastAsia="Times New Roman" w:cstheme="minorHAnsi"/>
                <w:color w:val="000000"/>
                <w:lang w:eastAsia="cs-CZ"/>
              </w:rPr>
            </w:pPr>
          </w:p>
        </w:tc>
        <w:tc>
          <w:tcPr>
            <w:tcW w:w="2762" w:type="dxa"/>
            <w:shd w:val="clear" w:color="auto" w:fill="auto"/>
            <w:noWrap/>
            <w:vAlign w:val="bottom"/>
          </w:tcPr>
          <w:p w14:paraId="18BDAD46" w14:textId="77777777" w:rsidR="005C5926" w:rsidRPr="001D2C07" w:rsidRDefault="005C5926" w:rsidP="007A07BA">
            <w:pPr>
              <w:spacing w:after="0" w:line="240" w:lineRule="auto"/>
              <w:rPr>
                <w:rFonts w:eastAsia="Times New Roman" w:cstheme="minorHAnsi"/>
                <w:color w:val="000000"/>
                <w:lang w:eastAsia="cs-CZ"/>
              </w:rPr>
            </w:pPr>
          </w:p>
        </w:tc>
      </w:tr>
      <w:tr w:rsidR="0085085E" w:rsidRPr="001D2C07" w14:paraId="09E36C50" w14:textId="77777777" w:rsidTr="007A07BA">
        <w:trPr>
          <w:trHeight w:val="582"/>
        </w:trPr>
        <w:tc>
          <w:tcPr>
            <w:tcW w:w="7122" w:type="dxa"/>
            <w:shd w:val="clear" w:color="auto" w:fill="auto"/>
            <w:noWrap/>
            <w:vAlign w:val="center"/>
          </w:tcPr>
          <w:p w14:paraId="3E457757" w14:textId="39666E8C" w:rsidR="0085085E" w:rsidRPr="001D2C07" w:rsidRDefault="0085085E" w:rsidP="00566E6F">
            <w:pPr>
              <w:pStyle w:val="Odstavecseseznamem"/>
              <w:numPr>
                <w:ilvl w:val="0"/>
                <w:numId w:val="55"/>
              </w:numPr>
              <w:spacing w:after="0" w:line="240" w:lineRule="auto"/>
              <w:jc w:val="both"/>
              <w:rPr>
                <w:rFonts w:eastAsia="Times New Roman" w:cstheme="minorHAnsi"/>
                <w:color w:val="000000"/>
                <w:lang w:eastAsia="cs-CZ"/>
              </w:rPr>
            </w:pPr>
            <w:r w:rsidRPr="001D2C07">
              <w:rPr>
                <w:rFonts w:eastAsia="Times New Roman" w:cstheme="minorHAnsi"/>
                <w:color w:val="000000"/>
                <w:lang w:eastAsia="cs-CZ"/>
              </w:rPr>
              <w:t>Pokud je pro danou kombinaci podpor relevantní, tak v případě investiční podpory bude odpovídajícím způsobem snížena vnitrostátní provozní podpora podle oznámení Evropské komise.</w:t>
            </w:r>
          </w:p>
        </w:tc>
        <w:tc>
          <w:tcPr>
            <w:tcW w:w="4922" w:type="dxa"/>
            <w:shd w:val="clear" w:color="auto" w:fill="auto"/>
            <w:noWrap/>
            <w:vAlign w:val="bottom"/>
          </w:tcPr>
          <w:p w14:paraId="0A002976" w14:textId="77777777" w:rsidR="0085085E" w:rsidRPr="001D2C07" w:rsidRDefault="0085085E" w:rsidP="007A07BA">
            <w:pPr>
              <w:spacing w:after="0" w:line="240" w:lineRule="auto"/>
              <w:rPr>
                <w:rFonts w:eastAsia="Times New Roman" w:cstheme="minorHAnsi"/>
                <w:color w:val="000000"/>
                <w:lang w:eastAsia="cs-CZ"/>
              </w:rPr>
            </w:pPr>
          </w:p>
        </w:tc>
        <w:tc>
          <w:tcPr>
            <w:tcW w:w="2762" w:type="dxa"/>
            <w:shd w:val="clear" w:color="auto" w:fill="auto"/>
            <w:noWrap/>
            <w:vAlign w:val="bottom"/>
          </w:tcPr>
          <w:p w14:paraId="43435A13" w14:textId="77777777" w:rsidR="0085085E" w:rsidRPr="001D2C07" w:rsidRDefault="0085085E" w:rsidP="007A07BA">
            <w:pPr>
              <w:spacing w:after="0" w:line="240" w:lineRule="auto"/>
              <w:rPr>
                <w:rFonts w:eastAsia="Times New Roman" w:cstheme="minorHAnsi"/>
                <w:color w:val="000000"/>
                <w:lang w:eastAsia="cs-CZ"/>
              </w:rPr>
            </w:pPr>
          </w:p>
        </w:tc>
      </w:tr>
    </w:tbl>
    <w:p w14:paraId="6E95419A" w14:textId="77777777" w:rsidR="005C5926" w:rsidRDefault="005C5926" w:rsidP="005C5926">
      <w:pPr>
        <w:jc w:val="both"/>
      </w:pPr>
    </w:p>
    <w:p w14:paraId="729D1D7A" w14:textId="7368B411" w:rsidR="00F9643A" w:rsidRDefault="005C5926" w:rsidP="00167D09">
      <w:pPr>
        <w:jc w:val="right"/>
      </w:pPr>
      <w:r>
        <w:t xml:space="preserve">Datum a </w:t>
      </w:r>
      <w:r w:rsidR="0070324E">
        <w:t>potvrzení</w:t>
      </w:r>
      <w:r>
        <w:t xml:space="preserve"> žadatele</w:t>
      </w:r>
      <w:r w:rsidR="00464EB1" w:rsidRPr="00464EB1">
        <w:t xml:space="preserve"> </w:t>
      </w:r>
      <w:r w:rsidR="00464EB1">
        <w:t>nebo osoba jím pověřená</w:t>
      </w:r>
    </w:p>
    <w:sectPr w:rsidR="00F9643A" w:rsidSect="006361DB">
      <w:headerReference w:type="default"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DD66" w14:textId="77777777" w:rsidR="00823D69" w:rsidRDefault="00823D69" w:rsidP="00677FE0">
      <w:pPr>
        <w:spacing w:after="0" w:line="240" w:lineRule="auto"/>
      </w:pPr>
      <w:r>
        <w:separator/>
      </w:r>
    </w:p>
  </w:endnote>
  <w:endnote w:type="continuationSeparator" w:id="0">
    <w:p w14:paraId="6BDB2C39" w14:textId="77777777" w:rsidR="00823D69" w:rsidRDefault="00823D69"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90BE" w14:textId="77777777" w:rsidR="00BF7B12" w:rsidRDefault="00BF7B12" w:rsidP="00BF7B12">
    <w:pPr>
      <w:pStyle w:val="Zpat"/>
    </w:pPr>
    <w:r>
      <w:tab/>
      <w:t xml:space="preserve">                                                                                                                                 </w:t>
    </w:r>
  </w:p>
  <w:p w14:paraId="355FADCE" w14:textId="77777777" w:rsidR="00BF7B12" w:rsidRDefault="00BF7B12" w:rsidP="00BF7B12">
    <w:pPr>
      <w:pStyle w:val="Zpat"/>
    </w:pPr>
    <w:r>
      <w:rPr>
        <w:noProof/>
        <w:lang w:eastAsia="cs-CZ"/>
      </w:rPr>
      <w:drawing>
        <wp:anchor distT="0" distB="0" distL="114300" distR="114300" simplePos="0" relativeHeight="251659264" behindDoc="0" locked="0" layoutInCell="1" allowOverlap="1" wp14:anchorId="11F4CF86" wp14:editId="77CA03FE">
          <wp:simplePos x="0" y="0"/>
          <wp:positionH relativeFrom="margin">
            <wp:align>left</wp:align>
          </wp:positionH>
          <wp:positionV relativeFrom="paragraph">
            <wp:posOffset>42555</wp:posOffset>
          </wp:positionV>
          <wp:extent cx="2948305" cy="424180"/>
          <wp:effectExtent l="0" t="0" r="4445"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329B7714" w14:textId="77777777" w:rsidR="00BF7B12" w:rsidRDefault="00BF7B12" w:rsidP="00BF7B12">
    <w:pPr>
      <w:pStyle w:val="Zpat"/>
      <w:tabs>
        <w:tab w:val="clear" w:pos="4536"/>
        <w:tab w:val="left" w:pos="6759"/>
        <w:tab w:val="left" w:pos="9072"/>
      </w:tabs>
    </w:pPr>
    <w:r>
      <w:tab/>
      <w:t xml:space="preserve">           </w:t>
    </w:r>
    <w:r>
      <w:tab/>
    </w:r>
  </w:p>
  <w:p w14:paraId="1133F96F" w14:textId="77777777" w:rsidR="00BF7B12" w:rsidRDefault="00BF7B12" w:rsidP="00BF7B12">
    <w:pPr>
      <w:pStyle w:val="Zpat"/>
    </w:pPr>
  </w:p>
  <w:p w14:paraId="1B2964A5" w14:textId="77777777"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6C6B" w14:textId="77777777" w:rsidR="00823D69" w:rsidRDefault="00823D69" w:rsidP="00677FE0">
      <w:pPr>
        <w:spacing w:after="0" w:line="240" w:lineRule="auto"/>
      </w:pPr>
      <w:r>
        <w:separator/>
      </w:r>
    </w:p>
  </w:footnote>
  <w:footnote w:type="continuationSeparator" w:id="0">
    <w:p w14:paraId="2E9B815B" w14:textId="77777777" w:rsidR="00823D69" w:rsidRDefault="00823D69" w:rsidP="00677FE0">
      <w:pPr>
        <w:spacing w:after="0" w:line="240" w:lineRule="auto"/>
      </w:pPr>
      <w:r>
        <w:continuationSeparator/>
      </w:r>
    </w:p>
  </w:footnote>
  <w:footnote w:id="1">
    <w:p w14:paraId="418F2926" w14:textId="58E0ED22" w:rsidR="003B3F6E" w:rsidRDefault="003B3F6E">
      <w:pPr>
        <w:pStyle w:val="Textpoznpodarou"/>
      </w:pPr>
      <w:r>
        <w:rPr>
          <w:rStyle w:val="Znakapoznpodarou"/>
        </w:rPr>
        <w:footnoteRef/>
      </w:r>
      <w:r>
        <w:t xml:space="preserve"> Energetický specialista zadá relevantní hodnotu nebo popis s odkazem na zdroj dat v energetické posudku. Na základě uvedené hodnoty a popisu </w:t>
      </w:r>
      <w:proofErr w:type="gramStart"/>
      <w:r>
        <w:t>určí</w:t>
      </w:r>
      <w:proofErr w:type="gramEnd"/>
      <w:r>
        <w:t xml:space="preserve"> zda je specifická podmínka splněna. Pokud je specifická podmínka nerelevantní, tak není nutné vyplňovat.</w:t>
      </w:r>
    </w:p>
  </w:footnote>
  <w:footnote w:id="2">
    <w:p w14:paraId="502F6546" w14:textId="77777777" w:rsidR="001A7BCD" w:rsidRDefault="001A7BCD" w:rsidP="001A7BCD">
      <w:pPr>
        <w:pStyle w:val="Textpoznpodarou"/>
        <w:jc w:val="both"/>
      </w:pPr>
      <w:r>
        <w:rPr>
          <w:rStyle w:val="Znakapoznpodarou"/>
        </w:rPr>
        <w:footnoteRef/>
      </w:r>
      <w:r>
        <w:t xml:space="preserve"> Absolutní emise z projektu vycházejí z ohraničení projektu, které zahrnuje všechny významné a nepřímé emise skleníkových plynů (navrhovaný stav).</w:t>
      </w:r>
    </w:p>
  </w:footnote>
  <w:footnote w:id="3">
    <w:p w14:paraId="454D1C59" w14:textId="77777777" w:rsidR="001A7BCD" w:rsidRDefault="001A7BCD" w:rsidP="001A7BCD">
      <w:pPr>
        <w:pStyle w:val="Textpoznpodarou"/>
        <w:jc w:val="both"/>
      </w:pPr>
      <w:r>
        <w:rPr>
          <w:rStyle w:val="Znakapoznpodarou"/>
        </w:rPr>
        <w:footnoteRef/>
      </w:r>
      <w:r>
        <w:t xml:space="preserve"> Relativní emise vycházejí z ohraničení projektu, které přiměřeně zahrnuje scénáře „s projektem“ a „bez projektu“ (většinou výchozí stav). Zahrnuje všechny významné přímé a nepřímé emise skleníkových plynů. Relativní emise jsou pak rozdílem absolutních emisí a výchozího stavu projektu.</w:t>
      </w:r>
    </w:p>
  </w:footnote>
  <w:footnote w:id="4">
    <w:p w14:paraId="54F114F3" w14:textId="77777777" w:rsidR="005C5926" w:rsidRDefault="005C5926" w:rsidP="005C5926">
      <w:pPr>
        <w:pStyle w:val="Textpoznpodarou"/>
      </w:pPr>
      <w:r>
        <w:rPr>
          <w:rStyle w:val="Znakapoznpodarou"/>
        </w:rPr>
        <w:footnoteRef/>
      </w:r>
      <w:r>
        <w:t xml:space="preserve"> Žadatel zadá popis. Na základě uvedeného popisu se určí, zda je specifická podmínka splněna. Pokud je specifická podmínka nerelevantní, tak není nutné vyplňovat.</w:t>
      </w:r>
    </w:p>
  </w:footnote>
  <w:footnote w:id="5">
    <w:p w14:paraId="693D8E4C" w14:textId="77777777" w:rsidR="00D70927" w:rsidRDefault="00D70927" w:rsidP="00D70927">
      <w:pPr>
        <w:pStyle w:val="Textpoznpodarou"/>
        <w:jc w:val="both"/>
      </w:pPr>
      <w:r>
        <w:rPr>
          <w:rStyle w:val="Znakapoznpodarou"/>
        </w:rPr>
        <w:footnoteRef/>
      </w:r>
      <w:r>
        <w:t xml:space="preserve"> Pokud žadatel o podporu je provozovatel, který má stacionární zařízení v České republice, která jsou součástí Evropského systému emisního obchodování („seznam EU ETS“), tak navržená opatření v rámci žádosti o podporu nejsou způsobilá k podpoře, pokud navržená opatření:</w:t>
      </w:r>
    </w:p>
    <w:p w14:paraId="7988F53D" w14:textId="77777777" w:rsidR="00D70927" w:rsidRDefault="00D70927" w:rsidP="00D70927">
      <w:pPr>
        <w:pStyle w:val="Textpoznpodarou"/>
        <w:jc w:val="both"/>
      </w:pPr>
      <w:r>
        <w:t>jsou realizována na stejné adrese, kde je provozováno zařízení v seznamu EU ETS</w:t>
      </w:r>
    </w:p>
    <w:p w14:paraId="0FF895A8" w14:textId="1648602B" w:rsidR="00D70927" w:rsidRDefault="00D70927" w:rsidP="00D70927">
      <w:pPr>
        <w:pStyle w:val="Textpoznpodarou"/>
        <w:jc w:val="both"/>
      </w:pPr>
      <w:r>
        <w:t>jsou realizována na jiné adrese, než je provozováno zařízení v seznamu EU ETS, ale žadatel provozuje i na této adrese stejnou činnost (bez ohledu na limit příkonu energie či kapacity pokud předmětné k dané činnosti), která by mohla přímo či nepřímo ovlivnit zařízení nebo činnosti z Rozhodnutí Ministerstva životního prostředí o povolení k emisím skleníkových plynů a o stanovení podmínek k jejich zjišťování, zveřejňování a vykazování a Ročním plánu pro monitorování emisí (dále jen „Rozhodnutí“) (</w:t>
      </w:r>
      <w:r w:rsidRPr="00C6012E">
        <w:t>Typickým příkladem může být výroba produktů a i jen potenciální přesun výroby mezi podniky, kde jeden podnik má evidované zařízení v Rozhodnutí a druhý podnik, který žádá o podporu, v daném Rozhodnutí není evidován.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20BB" w14:textId="3F7B06FC" w:rsidR="00167D09" w:rsidRDefault="00167D09">
    <w:pPr>
      <w:pStyle w:val="Zhlav"/>
    </w:pPr>
    <w:r>
      <w:rPr>
        <w:noProof/>
        <w:lang w:eastAsia="cs-CZ"/>
      </w:rPr>
      <w:drawing>
        <wp:anchor distT="0" distB="0" distL="114300" distR="114300" simplePos="0" relativeHeight="251661312" behindDoc="0" locked="0" layoutInCell="1" allowOverlap="1" wp14:anchorId="6DC7C2C4" wp14:editId="3B9B22F9">
          <wp:simplePos x="0" y="0"/>
          <wp:positionH relativeFrom="column">
            <wp:posOffset>0</wp:posOffset>
          </wp:positionH>
          <wp:positionV relativeFrom="paragraph">
            <wp:posOffset>-95885</wp:posOffset>
          </wp:positionV>
          <wp:extent cx="1944000" cy="432000"/>
          <wp:effectExtent l="0" t="0" r="0" b="635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64212C"/>
    <w:multiLevelType w:val="hybridMultilevel"/>
    <w:tmpl w:val="95961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79347F"/>
    <w:multiLevelType w:val="multilevel"/>
    <w:tmpl w:val="3320A8B2"/>
    <w:numStyleLink w:val="VariantaB-odrky"/>
  </w:abstractNum>
  <w:abstractNum w:abstractNumId="11" w15:restartNumberingAfterBreak="0">
    <w:nsid w:val="04D643EE"/>
    <w:multiLevelType w:val="multilevel"/>
    <w:tmpl w:val="E8A48D7C"/>
    <w:numStyleLink w:val="VariantaA-sla"/>
  </w:abstractNum>
  <w:abstractNum w:abstractNumId="12" w15:restartNumberingAfterBreak="0">
    <w:nsid w:val="0BDD4BBA"/>
    <w:multiLevelType w:val="multilevel"/>
    <w:tmpl w:val="E8BAE50A"/>
    <w:numStyleLink w:val="VariantaA-odrky"/>
  </w:abstractNum>
  <w:abstractNum w:abstractNumId="13"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00F3D6E"/>
    <w:multiLevelType w:val="hybridMultilevel"/>
    <w:tmpl w:val="ED9E6318"/>
    <w:lvl w:ilvl="0" w:tplc="194CDEC8">
      <w:start w:val="1"/>
      <w:numFmt w:val="lowerLetter"/>
      <w:lvlText w:val="%1)"/>
      <w:lvlJc w:val="left"/>
      <w:pPr>
        <w:ind w:left="720" w:hanging="360"/>
      </w:pPr>
      <w:rPr>
        <w:rFonts w:hint="default"/>
        <w:b w:val="0"/>
        <w:i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30316F8"/>
    <w:multiLevelType w:val="multilevel"/>
    <w:tmpl w:val="3320A8B2"/>
    <w:numStyleLink w:val="VariantaB-odrky"/>
  </w:abstractNum>
  <w:abstractNum w:abstractNumId="16" w15:restartNumberingAfterBreak="0">
    <w:nsid w:val="13FB2F1F"/>
    <w:multiLevelType w:val="multilevel"/>
    <w:tmpl w:val="E8BAE50A"/>
    <w:numStyleLink w:val="VariantaA-odrky"/>
  </w:abstractNum>
  <w:abstractNum w:abstractNumId="17" w15:restartNumberingAfterBreak="0">
    <w:nsid w:val="15587B24"/>
    <w:multiLevelType w:val="multilevel"/>
    <w:tmpl w:val="E8BAE50A"/>
    <w:numStyleLink w:val="VariantaA-odrky"/>
  </w:abstractNum>
  <w:abstractNum w:abstractNumId="1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9" w15:restartNumberingAfterBreak="0">
    <w:nsid w:val="191872DA"/>
    <w:multiLevelType w:val="multilevel"/>
    <w:tmpl w:val="E8A48D7C"/>
    <w:numStyleLink w:val="VariantaA-sla"/>
  </w:abstractNum>
  <w:abstractNum w:abstractNumId="20" w15:restartNumberingAfterBreak="0">
    <w:nsid w:val="19987FCF"/>
    <w:multiLevelType w:val="multilevel"/>
    <w:tmpl w:val="0D8ABE32"/>
    <w:numStyleLink w:val="VariantaB-sla"/>
  </w:abstractNum>
  <w:abstractNum w:abstractNumId="21" w15:restartNumberingAfterBreak="0">
    <w:nsid w:val="1D3068A6"/>
    <w:multiLevelType w:val="multilevel"/>
    <w:tmpl w:val="3320A8B2"/>
    <w:numStyleLink w:val="VariantaB-odrky"/>
  </w:abstractNum>
  <w:abstractNum w:abstractNumId="22" w15:restartNumberingAfterBreak="0">
    <w:nsid w:val="1D464EC2"/>
    <w:multiLevelType w:val="multilevel"/>
    <w:tmpl w:val="E8BAE50A"/>
    <w:numStyleLink w:val="VariantaA-odrky"/>
  </w:abstractNum>
  <w:abstractNum w:abstractNumId="23" w15:restartNumberingAfterBreak="0">
    <w:nsid w:val="1D86602C"/>
    <w:multiLevelType w:val="hybridMultilevel"/>
    <w:tmpl w:val="2F80B2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EAB39CE"/>
    <w:multiLevelType w:val="multilevel"/>
    <w:tmpl w:val="E8BAE50A"/>
    <w:numStyleLink w:val="VariantaA-odrky"/>
  </w:abstractNum>
  <w:abstractNum w:abstractNumId="25" w15:restartNumberingAfterBreak="0">
    <w:nsid w:val="1F57773D"/>
    <w:multiLevelType w:val="hybridMultilevel"/>
    <w:tmpl w:val="21E0D6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9A5EA2"/>
    <w:multiLevelType w:val="multilevel"/>
    <w:tmpl w:val="E8BAE50A"/>
    <w:numStyleLink w:val="VariantaA-odrky"/>
  </w:abstractNum>
  <w:abstractNum w:abstractNumId="27" w15:restartNumberingAfterBreak="0">
    <w:nsid w:val="28AB573E"/>
    <w:multiLevelType w:val="multilevel"/>
    <w:tmpl w:val="3320A8B2"/>
    <w:numStyleLink w:val="VariantaB-odrky"/>
  </w:abstractNum>
  <w:abstractNum w:abstractNumId="28" w15:restartNumberingAfterBreak="0">
    <w:nsid w:val="2A5F2D39"/>
    <w:multiLevelType w:val="multilevel"/>
    <w:tmpl w:val="E8BAE50A"/>
    <w:numStyleLink w:val="VariantaA-odrky"/>
  </w:abstractNum>
  <w:abstractNum w:abstractNumId="29" w15:restartNumberingAfterBreak="0">
    <w:nsid w:val="2B9F2509"/>
    <w:multiLevelType w:val="hybridMultilevel"/>
    <w:tmpl w:val="09264CB4"/>
    <w:lvl w:ilvl="0" w:tplc="2ED88E30">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DBB2CE6"/>
    <w:multiLevelType w:val="multilevel"/>
    <w:tmpl w:val="E8BAE50A"/>
    <w:numStyleLink w:val="VariantaA-odrky"/>
  </w:abstractNum>
  <w:abstractNum w:abstractNumId="31" w15:restartNumberingAfterBreak="0">
    <w:nsid w:val="2FA10244"/>
    <w:multiLevelType w:val="hybridMultilevel"/>
    <w:tmpl w:val="2336572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355131EF"/>
    <w:multiLevelType w:val="multilevel"/>
    <w:tmpl w:val="E8A48D7C"/>
    <w:numStyleLink w:val="VariantaA-sla"/>
  </w:abstractNum>
  <w:abstractNum w:abstractNumId="33" w15:restartNumberingAfterBreak="0">
    <w:nsid w:val="38D4669A"/>
    <w:multiLevelType w:val="hybridMultilevel"/>
    <w:tmpl w:val="D27469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97A33E8"/>
    <w:multiLevelType w:val="hybridMultilevel"/>
    <w:tmpl w:val="0922B6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0F075BB"/>
    <w:multiLevelType w:val="hybridMultilevel"/>
    <w:tmpl w:val="A920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32639A3"/>
    <w:multiLevelType w:val="hybridMultilevel"/>
    <w:tmpl w:val="821A99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3794A1E"/>
    <w:multiLevelType w:val="hybridMultilevel"/>
    <w:tmpl w:val="E02EF7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99A686E"/>
    <w:multiLevelType w:val="hybridMultilevel"/>
    <w:tmpl w:val="1C58B50A"/>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4A306389"/>
    <w:multiLevelType w:val="multilevel"/>
    <w:tmpl w:val="E8BAE50A"/>
    <w:numStyleLink w:val="VariantaA-odrky"/>
  </w:abstractNum>
  <w:abstractNum w:abstractNumId="40"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3290926"/>
    <w:multiLevelType w:val="multilevel"/>
    <w:tmpl w:val="E8BAE50A"/>
    <w:numStyleLink w:val="VariantaA-odrky"/>
  </w:abstractNum>
  <w:abstractNum w:abstractNumId="42" w15:restartNumberingAfterBreak="0">
    <w:nsid w:val="533902EA"/>
    <w:multiLevelType w:val="multilevel"/>
    <w:tmpl w:val="E8BAE50A"/>
    <w:numStyleLink w:val="VariantaA-odrky"/>
  </w:abstractNum>
  <w:abstractNum w:abstractNumId="43" w15:restartNumberingAfterBreak="0">
    <w:nsid w:val="571C11E2"/>
    <w:multiLevelType w:val="multilevel"/>
    <w:tmpl w:val="E8A48D7C"/>
    <w:numStyleLink w:val="VariantaA-sla"/>
  </w:abstractNum>
  <w:abstractNum w:abstractNumId="4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5" w15:restartNumberingAfterBreak="0">
    <w:nsid w:val="5AF35F43"/>
    <w:multiLevelType w:val="multilevel"/>
    <w:tmpl w:val="0D8ABE32"/>
    <w:numStyleLink w:val="VariantaB-sla"/>
  </w:abstractNum>
  <w:abstractNum w:abstractNumId="46" w15:restartNumberingAfterBreak="0">
    <w:nsid w:val="61FB3109"/>
    <w:multiLevelType w:val="hybridMultilevel"/>
    <w:tmpl w:val="CB644E8E"/>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6437601F"/>
    <w:multiLevelType w:val="hybridMultilevel"/>
    <w:tmpl w:val="99A623A6"/>
    <w:lvl w:ilvl="0" w:tplc="A740D660">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7E3309F"/>
    <w:multiLevelType w:val="hybridMultilevel"/>
    <w:tmpl w:val="88EEB2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AF8067A"/>
    <w:multiLevelType w:val="hybridMultilevel"/>
    <w:tmpl w:val="8CA296A4"/>
    <w:lvl w:ilvl="0" w:tplc="D530422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00535CC"/>
    <w:multiLevelType w:val="hybridMultilevel"/>
    <w:tmpl w:val="378A1D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3233E3"/>
    <w:multiLevelType w:val="hybridMultilevel"/>
    <w:tmpl w:val="FEB4F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4ED015A"/>
    <w:multiLevelType w:val="hybridMultilevel"/>
    <w:tmpl w:val="013247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3" w15:restartNumberingAfterBreak="0">
    <w:nsid w:val="769F796F"/>
    <w:multiLevelType w:val="hybridMultilevel"/>
    <w:tmpl w:val="B128FC5A"/>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4" w15:restartNumberingAfterBreak="0">
    <w:nsid w:val="7BB110C0"/>
    <w:multiLevelType w:val="hybridMultilevel"/>
    <w:tmpl w:val="224ACD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44"/>
  </w:num>
  <w:num w:numId="3">
    <w:abstractNumId w:val="21"/>
  </w:num>
  <w:num w:numId="4">
    <w:abstractNumId w:val="16"/>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40"/>
  </w:num>
  <w:num w:numId="7">
    <w:abstractNumId w:val="7"/>
  </w:num>
  <w:num w:numId="8">
    <w:abstractNumId w:val="43"/>
  </w:num>
  <w:num w:numId="9">
    <w:abstractNumId w:val="5"/>
  </w:num>
  <w:num w:numId="10">
    <w:abstractNumId w:val="2"/>
  </w:num>
  <w:num w:numId="11">
    <w:abstractNumId w:val="1"/>
  </w:num>
  <w:num w:numId="12">
    <w:abstractNumId w:val="0"/>
  </w:num>
  <w:num w:numId="13">
    <w:abstractNumId w:val="42"/>
  </w:num>
  <w:num w:numId="14">
    <w:abstractNumId w:val="4"/>
  </w:num>
  <w:num w:numId="15">
    <w:abstractNumId w:val="3"/>
  </w:num>
  <w:num w:numId="16">
    <w:abstractNumId w:val="40"/>
  </w:num>
  <w:num w:numId="17">
    <w:abstractNumId w:val="22"/>
  </w:num>
  <w:num w:numId="18">
    <w:abstractNumId w:val="6"/>
  </w:num>
  <w:num w:numId="19">
    <w:abstractNumId w:val="13"/>
  </w:num>
  <w:num w:numId="20">
    <w:abstractNumId w:val="8"/>
  </w:num>
  <w:num w:numId="21">
    <w:abstractNumId w:val="32"/>
  </w:num>
  <w:num w:numId="22">
    <w:abstractNumId w:val="11"/>
  </w:num>
  <w:num w:numId="23">
    <w:abstractNumId w:val="24"/>
  </w:num>
  <w:num w:numId="24">
    <w:abstractNumId w:val="12"/>
  </w:num>
  <w:num w:numId="25">
    <w:abstractNumId w:val="17"/>
  </w:num>
  <w:num w:numId="26">
    <w:abstractNumId w:val="39"/>
  </w:num>
  <w:num w:numId="27">
    <w:abstractNumId w:val="30"/>
  </w:num>
  <w:num w:numId="28">
    <w:abstractNumId w:val="28"/>
  </w:num>
  <w:num w:numId="29">
    <w:abstractNumId w:val="20"/>
  </w:num>
  <w:num w:numId="30">
    <w:abstractNumId w:val="41"/>
  </w:num>
  <w:num w:numId="31">
    <w:abstractNumId w:val="45"/>
  </w:num>
  <w:num w:numId="32">
    <w:abstractNumId w:val="26"/>
  </w:num>
  <w:num w:numId="33">
    <w:abstractNumId w:val="19"/>
  </w:num>
  <w:num w:numId="34">
    <w:abstractNumId w:val="10"/>
  </w:num>
  <w:num w:numId="35">
    <w:abstractNumId w:val="27"/>
  </w:num>
  <w:num w:numId="36">
    <w:abstractNumId w:val="15"/>
  </w:num>
  <w:num w:numId="37">
    <w:abstractNumId w:val="9"/>
  </w:num>
  <w:num w:numId="38">
    <w:abstractNumId w:val="35"/>
  </w:num>
  <w:num w:numId="39">
    <w:abstractNumId w:val="49"/>
  </w:num>
  <w:num w:numId="40">
    <w:abstractNumId w:val="25"/>
  </w:num>
  <w:num w:numId="41">
    <w:abstractNumId w:val="33"/>
  </w:num>
  <w:num w:numId="42">
    <w:abstractNumId w:val="51"/>
  </w:num>
  <w:num w:numId="43">
    <w:abstractNumId w:val="23"/>
  </w:num>
  <w:num w:numId="44">
    <w:abstractNumId w:val="36"/>
  </w:num>
  <w:num w:numId="45">
    <w:abstractNumId w:val="48"/>
  </w:num>
  <w:num w:numId="46">
    <w:abstractNumId w:val="54"/>
  </w:num>
  <w:num w:numId="47">
    <w:abstractNumId w:val="37"/>
  </w:num>
  <w:num w:numId="48">
    <w:abstractNumId w:val="53"/>
  </w:num>
  <w:num w:numId="49">
    <w:abstractNumId w:val="38"/>
  </w:num>
  <w:num w:numId="50">
    <w:abstractNumId w:val="46"/>
  </w:num>
  <w:num w:numId="51">
    <w:abstractNumId w:val="52"/>
  </w:num>
  <w:num w:numId="52">
    <w:abstractNumId w:val="14"/>
  </w:num>
  <w:num w:numId="53">
    <w:abstractNumId w:val="31"/>
  </w:num>
  <w:num w:numId="54">
    <w:abstractNumId w:val="29"/>
  </w:num>
  <w:num w:numId="55">
    <w:abstractNumId w:val="47"/>
  </w:num>
  <w:num w:numId="56">
    <w:abstractNumId w:val="50"/>
  </w:num>
  <w:num w:numId="5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DB"/>
    <w:rsid w:val="000113AC"/>
    <w:rsid w:val="00015306"/>
    <w:rsid w:val="0002674B"/>
    <w:rsid w:val="0004162E"/>
    <w:rsid w:val="0004786B"/>
    <w:rsid w:val="00055201"/>
    <w:rsid w:val="00055BEA"/>
    <w:rsid w:val="00063405"/>
    <w:rsid w:val="00063F27"/>
    <w:rsid w:val="000716A2"/>
    <w:rsid w:val="000809B9"/>
    <w:rsid w:val="00090B40"/>
    <w:rsid w:val="000925B9"/>
    <w:rsid w:val="00095A0A"/>
    <w:rsid w:val="000961F6"/>
    <w:rsid w:val="000B1B3D"/>
    <w:rsid w:val="000B61C0"/>
    <w:rsid w:val="000B7887"/>
    <w:rsid w:val="000C4CAF"/>
    <w:rsid w:val="000E1653"/>
    <w:rsid w:val="000F6F41"/>
    <w:rsid w:val="00121485"/>
    <w:rsid w:val="00123132"/>
    <w:rsid w:val="00125F56"/>
    <w:rsid w:val="001268B0"/>
    <w:rsid w:val="001376FC"/>
    <w:rsid w:val="00167D09"/>
    <w:rsid w:val="001729C1"/>
    <w:rsid w:val="0018051B"/>
    <w:rsid w:val="001810C5"/>
    <w:rsid w:val="001811EB"/>
    <w:rsid w:val="00182050"/>
    <w:rsid w:val="001826ED"/>
    <w:rsid w:val="00190699"/>
    <w:rsid w:val="00193370"/>
    <w:rsid w:val="001A7BCD"/>
    <w:rsid w:val="001B1E4A"/>
    <w:rsid w:val="001C123F"/>
    <w:rsid w:val="001C762F"/>
    <w:rsid w:val="001C78C8"/>
    <w:rsid w:val="001D27C0"/>
    <w:rsid w:val="001D2C07"/>
    <w:rsid w:val="001E74C3"/>
    <w:rsid w:val="001F6937"/>
    <w:rsid w:val="00200782"/>
    <w:rsid w:val="00220DE3"/>
    <w:rsid w:val="00221A2E"/>
    <w:rsid w:val="00222891"/>
    <w:rsid w:val="00234974"/>
    <w:rsid w:val="00243BA2"/>
    <w:rsid w:val="0025290D"/>
    <w:rsid w:val="00255278"/>
    <w:rsid w:val="00260372"/>
    <w:rsid w:val="00262DAF"/>
    <w:rsid w:val="00280AFB"/>
    <w:rsid w:val="00281420"/>
    <w:rsid w:val="00285AED"/>
    <w:rsid w:val="002A5B96"/>
    <w:rsid w:val="002B4B05"/>
    <w:rsid w:val="002E2442"/>
    <w:rsid w:val="002F0E8C"/>
    <w:rsid w:val="00310FA0"/>
    <w:rsid w:val="0031325C"/>
    <w:rsid w:val="00320481"/>
    <w:rsid w:val="003250CB"/>
    <w:rsid w:val="00342C20"/>
    <w:rsid w:val="003451CE"/>
    <w:rsid w:val="00363201"/>
    <w:rsid w:val="0037314B"/>
    <w:rsid w:val="003858E7"/>
    <w:rsid w:val="0039063C"/>
    <w:rsid w:val="003A46A8"/>
    <w:rsid w:val="003A5013"/>
    <w:rsid w:val="003A51AA"/>
    <w:rsid w:val="003B3F6E"/>
    <w:rsid w:val="003B565A"/>
    <w:rsid w:val="003D00A1"/>
    <w:rsid w:val="003D0354"/>
    <w:rsid w:val="0040121A"/>
    <w:rsid w:val="00411A71"/>
    <w:rsid w:val="0041427F"/>
    <w:rsid w:val="00425395"/>
    <w:rsid w:val="00426751"/>
    <w:rsid w:val="004509E5"/>
    <w:rsid w:val="004631EE"/>
    <w:rsid w:val="004635E5"/>
    <w:rsid w:val="00463B6B"/>
    <w:rsid w:val="00464EB1"/>
    <w:rsid w:val="00466EA0"/>
    <w:rsid w:val="00482A66"/>
    <w:rsid w:val="004842A0"/>
    <w:rsid w:val="004842DF"/>
    <w:rsid w:val="00486FB9"/>
    <w:rsid w:val="0049322B"/>
    <w:rsid w:val="004C1CA6"/>
    <w:rsid w:val="004C212A"/>
    <w:rsid w:val="004C2CEE"/>
    <w:rsid w:val="004D08F5"/>
    <w:rsid w:val="004F3CFE"/>
    <w:rsid w:val="00500232"/>
    <w:rsid w:val="00504668"/>
    <w:rsid w:val="00511BDF"/>
    <w:rsid w:val="005455E1"/>
    <w:rsid w:val="005502BD"/>
    <w:rsid w:val="00552BC1"/>
    <w:rsid w:val="005555D1"/>
    <w:rsid w:val="00556787"/>
    <w:rsid w:val="00566E6F"/>
    <w:rsid w:val="00582276"/>
    <w:rsid w:val="00594E8D"/>
    <w:rsid w:val="005B062D"/>
    <w:rsid w:val="005C2560"/>
    <w:rsid w:val="005C5926"/>
    <w:rsid w:val="005D45AF"/>
    <w:rsid w:val="005D678F"/>
    <w:rsid w:val="005E0A0D"/>
    <w:rsid w:val="005E38A2"/>
    <w:rsid w:val="005E5696"/>
    <w:rsid w:val="005F242A"/>
    <w:rsid w:val="005F69D0"/>
    <w:rsid w:val="005F7585"/>
    <w:rsid w:val="00605759"/>
    <w:rsid w:val="006106DC"/>
    <w:rsid w:val="00611FA1"/>
    <w:rsid w:val="0061343A"/>
    <w:rsid w:val="00613AC5"/>
    <w:rsid w:val="00630F96"/>
    <w:rsid w:val="00633D02"/>
    <w:rsid w:val="006361DB"/>
    <w:rsid w:val="00650C6C"/>
    <w:rsid w:val="00652FE6"/>
    <w:rsid w:val="0066607C"/>
    <w:rsid w:val="00667898"/>
    <w:rsid w:val="00677FE0"/>
    <w:rsid w:val="00692C3D"/>
    <w:rsid w:val="00697E9A"/>
    <w:rsid w:val="006A68EE"/>
    <w:rsid w:val="006B7F7A"/>
    <w:rsid w:val="006C31ED"/>
    <w:rsid w:val="006C45C2"/>
    <w:rsid w:val="006D04EF"/>
    <w:rsid w:val="006E2FB0"/>
    <w:rsid w:val="0070324E"/>
    <w:rsid w:val="007102D2"/>
    <w:rsid w:val="00713948"/>
    <w:rsid w:val="00724326"/>
    <w:rsid w:val="00752C86"/>
    <w:rsid w:val="00753A27"/>
    <w:rsid w:val="0076499E"/>
    <w:rsid w:val="0079342A"/>
    <w:rsid w:val="007936B2"/>
    <w:rsid w:val="007A5766"/>
    <w:rsid w:val="007B3F8D"/>
    <w:rsid w:val="007B4949"/>
    <w:rsid w:val="007F0BC6"/>
    <w:rsid w:val="007F765B"/>
    <w:rsid w:val="0080647D"/>
    <w:rsid w:val="00823BAC"/>
    <w:rsid w:val="00823D69"/>
    <w:rsid w:val="00831374"/>
    <w:rsid w:val="0085085E"/>
    <w:rsid w:val="00857580"/>
    <w:rsid w:val="00865238"/>
    <w:rsid w:val="008667BF"/>
    <w:rsid w:val="00895645"/>
    <w:rsid w:val="00895F18"/>
    <w:rsid w:val="008A7851"/>
    <w:rsid w:val="008C2114"/>
    <w:rsid w:val="008C3782"/>
    <w:rsid w:val="008D4A32"/>
    <w:rsid w:val="008D593A"/>
    <w:rsid w:val="008E1AFF"/>
    <w:rsid w:val="008E6F42"/>
    <w:rsid w:val="008E7760"/>
    <w:rsid w:val="008F6C65"/>
    <w:rsid w:val="0091520F"/>
    <w:rsid w:val="00922001"/>
    <w:rsid w:val="00922C17"/>
    <w:rsid w:val="00942DDD"/>
    <w:rsid w:val="00947577"/>
    <w:rsid w:val="009516A8"/>
    <w:rsid w:val="0097705C"/>
    <w:rsid w:val="00982D83"/>
    <w:rsid w:val="00991F93"/>
    <w:rsid w:val="00995BD1"/>
    <w:rsid w:val="009B41B5"/>
    <w:rsid w:val="009D7461"/>
    <w:rsid w:val="009E5A86"/>
    <w:rsid w:val="009F2906"/>
    <w:rsid w:val="009F393D"/>
    <w:rsid w:val="009F7F46"/>
    <w:rsid w:val="00A000BF"/>
    <w:rsid w:val="00A0587E"/>
    <w:rsid w:val="00A275BC"/>
    <w:rsid w:val="00A4231B"/>
    <w:rsid w:val="00A464B4"/>
    <w:rsid w:val="00A57491"/>
    <w:rsid w:val="00A63D6B"/>
    <w:rsid w:val="00A84B52"/>
    <w:rsid w:val="00A859B3"/>
    <w:rsid w:val="00A8660F"/>
    <w:rsid w:val="00A95C48"/>
    <w:rsid w:val="00AA7056"/>
    <w:rsid w:val="00AB31C6"/>
    <w:rsid w:val="00AB4362"/>
    <w:rsid w:val="00AB523B"/>
    <w:rsid w:val="00AC79CE"/>
    <w:rsid w:val="00AD7E40"/>
    <w:rsid w:val="00AE5D35"/>
    <w:rsid w:val="00AF5089"/>
    <w:rsid w:val="00B02390"/>
    <w:rsid w:val="00B07734"/>
    <w:rsid w:val="00B1477A"/>
    <w:rsid w:val="00B20993"/>
    <w:rsid w:val="00B20A7C"/>
    <w:rsid w:val="00B21435"/>
    <w:rsid w:val="00B21456"/>
    <w:rsid w:val="00B22519"/>
    <w:rsid w:val="00B35DC1"/>
    <w:rsid w:val="00B42E96"/>
    <w:rsid w:val="00B461F3"/>
    <w:rsid w:val="00B50EE6"/>
    <w:rsid w:val="00B52185"/>
    <w:rsid w:val="00B60DCB"/>
    <w:rsid w:val="00B61967"/>
    <w:rsid w:val="00B806C2"/>
    <w:rsid w:val="00B861E9"/>
    <w:rsid w:val="00B9753A"/>
    <w:rsid w:val="00BA518B"/>
    <w:rsid w:val="00BB479C"/>
    <w:rsid w:val="00BC4720"/>
    <w:rsid w:val="00BD2082"/>
    <w:rsid w:val="00BD5830"/>
    <w:rsid w:val="00BD6B34"/>
    <w:rsid w:val="00BD75A2"/>
    <w:rsid w:val="00BF0493"/>
    <w:rsid w:val="00BF7B12"/>
    <w:rsid w:val="00C011B5"/>
    <w:rsid w:val="00C05462"/>
    <w:rsid w:val="00C10E3F"/>
    <w:rsid w:val="00C2017A"/>
    <w:rsid w:val="00C2026B"/>
    <w:rsid w:val="00C20470"/>
    <w:rsid w:val="00C25440"/>
    <w:rsid w:val="00C30FCE"/>
    <w:rsid w:val="00C32A99"/>
    <w:rsid w:val="00C34B2F"/>
    <w:rsid w:val="00C4641B"/>
    <w:rsid w:val="00C4664D"/>
    <w:rsid w:val="00C6012E"/>
    <w:rsid w:val="00C63E60"/>
    <w:rsid w:val="00C6690E"/>
    <w:rsid w:val="00C703C5"/>
    <w:rsid w:val="00C805F2"/>
    <w:rsid w:val="00C8202B"/>
    <w:rsid w:val="00C83426"/>
    <w:rsid w:val="00C87A8A"/>
    <w:rsid w:val="00C91815"/>
    <w:rsid w:val="00C957F0"/>
    <w:rsid w:val="00C96EFE"/>
    <w:rsid w:val="00CA7830"/>
    <w:rsid w:val="00CB4E74"/>
    <w:rsid w:val="00CC5E40"/>
    <w:rsid w:val="00CC6AC6"/>
    <w:rsid w:val="00D0525A"/>
    <w:rsid w:val="00D1569F"/>
    <w:rsid w:val="00D20B1E"/>
    <w:rsid w:val="00D22462"/>
    <w:rsid w:val="00D230AC"/>
    <w:rsid w:val="00D30761"/>
    <w:rsid w:val="00D31B47"/>
    <w:rsid w:val="00D32489"/>
    <w:rsid w:val="00D3349E"/>
    <w:rsid w:val="00D45AC2"/>
    <w:rsid w:val="00D65B20"/>
    <w:rsid w:val="00D667C5"/>
    <w:rsid w:val="00D672A2"/>
    <w:rsid w:val="00D70927"/>
    <w:rsid w:val="00D728D4"/>
    <w:rsid w:val="00D73CB8"/>
    <w:rsid w:val="00DA7591"/>
    <w:rsid w:val="00DE04D7"/>
    <w:rsid w:val="00DF798E"/>
    <w:rsid w:val="00E02CA8"/>
    <w:rsid w:val="00E06219"/>
    <w:rsid w:val="00E2175D"/>
    <w:rsid w:val="00E270C3"/>
    <w:rsid w:val="00E32798"/>
    <w:rsid w:val="00E32CE6"/>
    <w:rsid w:val="00E33CC8"/>
    <w:rsid w:val="00E40E11"/>
    <w:rsid w:val="00E51C91"/>
    <w:rsid w:val="00E56C3B"/>
    <w:rsid w:val="00E667C1"/>
    <w:rsid w:val="00E66832"/>
    <w:rsid w:val="00E76107"/>
    <w:rsid w:val="00E852A9"/>
    <w:rsid w:val="00EA2ADA"/>
    <w:rsid w:val="00EB686B"/>
    <w:rsid w:val="00EC3F88"/>
    <w:rsid w:val="00ED36D8"/>
    <w:rsid w:val="00EE0433"/>
    <w:rsid w:val="00EE6BD7"/>
    <w:rsid w:val="00F0004D"/>
    <w:rsid w:val="00F01934"/>
    <w:rsid w:val="00F0648F"/>
    <w:rsid w:val="00F0689D"/>
    <w:rsid w:val="00F63D0A"/>
    <w:rsid w:val="00F76EC9"/>
    <w:rsid w:val="00F9643A"/>
    <w:rsid w:val="00FA11CA"/>
    <w:rsid w:val="00FA6A24"/>
    <w:rsid w:val="00FB01B5"/>
    <w:rsid w:val="00FB4498"/>
    <w:rsid w:val="00FC0234"/>
    <w:rsid w:val="00FC0477"/>
    <w:rsid w:val="00FC08B3"/>
    <w:rsid w:val="00FC429B"/>
    <w:rsid w:val="00FD23DD"/>
    <w:rsid w:val="00FF2B8C"/>
    <w:rsid w:val="00FF4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BEB0"/>
  <w15:chartTrackingRefBased/>
  <w15:docId w15:val="{33F4F0C7-22C2-4C4B-B1F3-32D52F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abulky,seznam odrážky,Nad,Odstavec_muj,Odstavec cíl se seznamem,Odstavec se seznamem5,_Odstavec se seznamem,Seznam - odrážky,Conclusion de partie,List Paragraph (Czech Tourism),List Paragraph compact,Normal bullet 2,Název grafu"/>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basedOn w:val="Normln"/>
    <w:link w:val="TextpoznpodarouChar"/>
    <w:uiPriority w:val="99"/>
    <w:semiHidden/>
    <w:unhideWhenUsed/>
    <w:rsid w:val="0012313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23132"/>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fr,Légende;Char Car Car Car Car"/>
    <w:basedOn w:val="Standardnpsmoodstavce"/>
    <w:unhideWhenUsed/>
    <w:rsid w:val="00123132"/>
    <w:rPr>
      <w:vertAlign w:val="superscript"/>
    </w:rPr>
  </w:style>
  <w:style w:type="character" w:styleId="Odkaznakoment">
    <w:name w:val="annotation reference"/>
    <w:basedOn w:val="Standardnpsmoodstavce"/>
    <w:uiPriority w:val="99"/>
    <w:semiHidden/>
    <w:unhideWhenUsed/>
    <w:rsid w:val="005F242A"/>
    <w:rPr>
      <w:sz w:val="16"/>
      <w:szCs w:val="16"/>
    </w:rPr>
  </w:style>
  <w:style w:type="paragraph" w:styleId="Textkomente">
    <w:name w:val="annotation text"/>
    <w:basedOn w:val="Normln"/>
    <w:link w:val="TextkomenteChar"/>
    <w:uiPriority w:val="99"/>
    <w:semiHidden/>
    <w:unhideWhenUsed/>
    <w:rsid w:val="005F242A"/>
    <w:pPr>
      <w:spacing w:line="240" w:lineRule="auto"/>
    </w:pPr>
    <w:rPr>
      <w:sz w:val="20"/>
      <w:szCs w:val="20"/>
    </w:rPr>
  </w:style>
  <w:style w:type="character" w:customStyle="1" w:styleId="TextkomenteChar">
    <w:name w:val="Text komentáře Char"/>
    <w:basedOn w:val="Standardnpsmoodstavce"/>
    <w:link w:val="Textkomente"/>
    <w:uiPriority w:val="99"/>
    <w:semiHidden/>
    <w:rsid w:val="005F242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5F242A"/>
    <w:rPr>
      <w:b/>
      <w:bCs/>
    </w:rPr>
  </w:style>
  <w:style w:type="character" w:customStyle="1" w:styleId="PedmtkomenteChar">
    <w:name w:val="Předmět komentáře Char"/>
    <w:basedOn w:val="TextkomenteChar"/>
    <w:link w:val="Pedmtkomente"/>
    <w:uiPriority w:val="99"/>
    <w:semiHidden/>
    <w:rsid w:val="005F242A"/>
    <w:rPr>
      <w:b/>
      <w:bCs/>
      <w:color w:val="000000" w:themeColor="text1"/>
      <w:sz w:val="20"/>
      <w:szCs w:val="20"/>
    </w:rPr>
  </w:style>
  <w:style w:type="paragraph" w:styleId="Textbubliny">
    <w:name w:val="Balloon Text"/>
    <w:basedOn w:val="Normln"/>
    <w:link w:val="TextbublinyChar"/>
    <w:uiPriority w:val="99"/>
    <w:semiHidden/>
    <w:unhideWhenUsed/>
    <w:rsid w:val="005F24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242A"/>
    <w:rPr>
      <w:rFonts w:ascii="Segoe UI" w:hAnsi="Segoe UI" w:cs="Segoe UI"/>
      <w:color w:val="000000" w:themeColor="text1"/>
      <w:sz w:val="18"/>
      <w:szCs w:val="18"/>
    </w:rPr>
  </w:style>
  <w:style w:type="paragraph" w:styleId="Titulek">
    <w:name w:val="caption"/>
    <w:basedOn w:val="Normln"/>
    <w:next w:val="Normln"/>
    <w:uiPriority w:val="37"/>
    <w:unhideWhenUsed/>
    <w:qFormat/>
    <w:rsid w:val="0061343A"/>
    <w:pPr>
      <w:spacing w:after="200" w:line="240" w:lineRule="auto"/>
    </w:pPr>
    <w:rPr>
      <w:i/>
      <w:iCs/>
      <w:color w:val="004B8D" w:themeColor="text2"/>
      <w:sz w:val="18"/>
      <w:szCs w:val="18"/>
    </w:rPr>
  </w:style>
  <w:style w:type="paragraph" w:customStyle="1" w:styleId="Default">
    <w:name w:val="Default"/>
    <w:rsid w:val="001C762F"/>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B60DCB"/>
    <w:rPr>
      <w:b/>
      <w:bCs/>
    </w:rPr>
  </w:style>
  <w:style w:type="character" w:customStyle="1" w:styleId="OdstavecseseznamemChar">
    <w:name w:val="Odstavec se seznamem Char"/>
    <w:aliases w:val="tabulky Char,seznam odrážky Char,Nad Char,Odstavec_muj Char,Odstavec cíl se seznamem Char,Odstavec se seznamem5 Char,_Odstavec se seznamem Char,Seznam - odrážky Char,Conclusion de partie Char,List Paragraph (Czech Tourism) Char"/>
    <w:link w:val="Odstavecseseznamem"/>
    <w:uiPriority w:val="34"/>
    <w:qFormat/>
    <w:locked/>
    <w:rsid w:val="00AE5D35"/>
    <w:rPr>
      <w:color w:val="000000" w:themeColor="text1"/>
    </w:rPr>
  </w:style>
  <w:style w:type="paragraph" w:styleId="Normlnweb">
    <w:name w:val="Normal (Web)"/>
    <w:basedOn w:val="Normln"/>
    <w:uiPriority w:val="99"/>
    <w:unhideWhenUsed/>
    <w:rsid w:val="00EA2ADA"/>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CM1">
    <w:name w:val="CM1"/>
    <w:basedOn w:val="Default"/>
    <w:next w:val="Default"/>
    <w:uiPriority w:val="99"/>
    <w:rsid w:val="00C83426"/>
    <w:rPr>
      <w:color w:val="auto"/>
    </w:rPr>
  </w:style>
  <w:style w:type="paragraph" w:customStyle="1" w:styleId="CM3">
    <w:name w:val="CM3"/>
    <w:basedOn w:val="Default"/>
    <w:next w:val="Default"/>
    <w:uiPriority w:val="99"/>
    <w:rsid w:val="00C83426"/>
    <w:rPr>
      <w:color w:val="auto"/>
    </w:rPr>
  </w:style>
  <w:style w:type="paragraph" w:styleId="Revize">
    <w:name w:val="Revision"/>
    <w:hidden/>
    <w:uiPriority w:val="99"/>
    <w:semiHidden/>
    <w:rsid w:val="006106DC"/>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74197">
      <w:bodyDiv w:val="1"/>
      <w:marLeft w:val="0"/>
      <w:marRight w:val="0"/>
      <w:marTop w:val="0"/>
      <w:marBottom w:val="0"/>
      <w:divBdr>
        <w:top w:val="none" w:sz="0" w:space="0" w:color="auto"/>
        <w:left w:val="none" w:sz="0" w:space="0" w:color="auto"/>
        <w:bottom w:val="none" w:sz="0" w:space="0" w:color="auto"/>
        <w:right w:val="none" w:sz="0" w:space="0" w:color="auto"/>
      </w:divBdr>
    </w:div>
    <w:div w:id="871109308">
      <w:bodyDiv w:val="1"/>
      <w:marLeft w:val="0"/>
      <w:marRight w:val="0"/>
      <w:marTop w:val="0"/>
      <w:marBottom w:val="0"/>
      <w:divBdr>
        <w:top w:val="none" w:sz="0" w:space="0" w:color="auto"/>
        <w:left w:val="none" w:sz="0" w:space="0" w:color="auto"/>
        <w:bottom w:val="none" w:sz="0" w:space="0" w:color="auto"/>
        <w:right w:val="none" w:sz="0" w:space="0" w:color="auto"/>
      </w:divBdr>
    </w:div>
    <w:div w:id="1018118512">
      <w:bodyDiv w:val="1"/>
      <w:marLeft w:val="0"/>
      <w:marRight w:val="0"/>
      <w:marTop w:val="0"/>
      <w:marBottom w:val="0"/>
      <w:divBdr>
        <w:top w:val="none" w:sz="0" w:space="0" w:color="auto"/>
        <w:left w:val="none" w:sz="0" w:space="0" w:color="auto"/>
        <w:bottom w:val="none" w:sz="0" w:space="0" w:color="auto"/>
        <w:right w:val="none" w:sz="0" w:space="0" w:color="auto"/>
      </w:divBdr>
    </w:div>
    <w:div w:id="12071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CE0D-B7CA-44A0-A690-7D324C88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807</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Honzík Miroslav</dc:creator>
  <cp:keywords/>
  <dc:description/>
  <cp:lastModifiedBy>Piklová Halířová Dana</cp:lastModifiedBy>
  <cp:revision>8</cp:revision>
  <dcterms:created xsi:type="dcterms:W3CDTF">2024-11-11T09:17:00Z</dcterms:created>
  <dcterms:modified xsi:type="dcterms:W3CDTF">2024-12-03T07:54:00Z</dcterms:modified>
</cp:coreProperties>
</file>