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188"/>
        <w:tblOverlap w:val="never"/>
        <w:tblW w:w="1234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2"/>
      </w:tblGrid>
      <w:tr w:rsidR="003C4317" w:rsidRPr="00551522" w14:paraId="1731600E" w14:textId="77777777" w:rsidTr="003C4317">
        <w:trPr>
          <w:trHeight w:val="402"/>
          <w:tblCellSpacing w:w="0" w:type="dxa"/>
        </w:trPr>
        <w:tc>
          <w:tcPr>
            <w:tcW w:w="5000" w:type="pct"/>
            <w:vAlign w:val="center"/>
          </w:tcPr>
          <w:p w14:paraId="675085FE" w14:textId="77777777" w:rsidR="003C4317" w:rsidRPr="00551522" w:rsidRDefault="003C4317" w:rsidP="003C4317">
            <w:pPr>
              <w:spacing w:before="100" w:beforeAutospacing="1"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>Jednací řád ŘV pro projekty CT podpořené z OP TAK</w:t>
            </w:r>
          </w:p>
        </w:tc>
      </w:tr>
    </w:tbl>
    <w:tbl>
      <w:tblPr>
        <w:tblW w:w="4928" w:type="pct"/>
        <w:tblCellSpacing w:w="6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3C4317" w:rsidRPr="003C4317" w14:paraId="58A14556" w14:textId="77777777" w:rsidTr="009979CB">
        <w:trPr>
          <w:trHeight w:val="9856"/>
          <w:tblCellSpacing w:w="60" w:type="dxa"/>
        </w:trPr>
        <w:tc>
          <w:tcPr>
            <w:tcW w:w="0" w:type="auto"/>
            <w:vAlign w:val="center"/>
          </w:tcPr>
          <w:p w14:paraId="5C3EB973" w14:textId="77777777" w:rsidR="00A87302" w:rsidRPr="00551522" w:rsidRDefault="00A87302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bookmarkStart w:id="0" w:name="_Hlk147816864"/>
          </w:p>
          <w:p w14:paraId="6D5D4BBD" w14:textId="77777777" w:rsidR="003C4317" w:rsidRPr="00551522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1</w:t>
            </w:r>
          </w:p>
          <w:p w14:paraId="2F2F7F22" w14:textId="77777777" w:rsidR="003C4317" w:rsidRPr="00551522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color w:val="auto"/>
                <w:lang w:eastAsia="cs-CZ"/>
              </w:rPr>
              <w:t>Úvodní ustanovení</w:t>
            </w:r>
          </w:p>
          <w:p w14:paraId="4C2CFD5D" w14:textId="77777777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bCs/>
                <w:kern w:val="36"/>
                <w:lang w:eastAsia="cs-CZ"/>
              </w:rPr>
              <w:t xml:space="preserve">Jednací řád </w:t>
            </w:r>
            <w:r w:rsidRPr="00551522">
              <w:rPr>
                <w:lang w:eastAsia="cs-CZ"/>
              </w:rPr>
              <w:t xml:space="preserve">ŘV </w:t>
            </w:r>
            <w:r w:rsidRPr="00551522">
              <w:rPr>
                <w:bCs/>
                <w:kern w:val="36"/>
                <w:lang w:eastAsia="cs-CZ"/>
              </w:rPr>
              <w:t>pro projekty CT podpořené z Operačního programu Technologie a aplikace pro konkurenceschopnost</w:t>
            </w:r>
            <w:r w:rsidRPr="00551522">
              <w:rPr>
                <w:lang w:eastAsia="cs-CZ"/>
              </w:rPr>
              <w:t>, Priority 2, Rozvoj podnikání a konkurenceschopnosti malých a středních podniků, specifického cíle 2.1 Posilování udržitelného růstu a konkurenceschopnosti malých a středních podniků a vytváření pracovních míst v malých a středních podnicích, mimo jiné prostřednictvím produktivních investic.</w:t>
            </w:r>
          </w:p>
          <w:p w14:paraId="7500B398" w14:textId="77777777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>Tento jednací řád je závazným dokumentem ŘV, který upravuje podmínky jeho činnosti.</w:t>
            </w:r>
          </w:p>
          <w:p w14:paraId="36F6D41E" w14:textId="601CF23F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 xml:space="preserve">ŘV tvoří 5 zástupců ŘO OP TAK ze Sekcí </w:t>
            </w:r>
            <w:r w:rsidR="009B4662">
              <w:rPr>
                <w:lang w:eastAsia="cs-CZ"/>
              </w:rPr>
              <w:t>21000</w:t>
            </w:r>
            <w:r w:rsidR="009B4662" w:rsidRPr="00551522">
              <w:rPr>
                <w:lang w:eastAsia="cs-CZ"/>
              </w:rPr>
              <w:t xml:space="preserve"> </w:t>
            </w:r>
            <w:r w:rsidR="00BF039B" w:rsidRPr="00551522">
              <w:rPr>
                <w:lang w:eastAsia="cs-CZ"/>
              </w:rPr>
              <w:t xml:space="preserve">(4 zástupci) </w:t>
            </w:r>
            <w:r w:rsidRPr="00551522">
              <w:rPr>
                <w:lang w:eastAsia="cs-CZ"/>
              </w:rPr>
              <w:t>a 51000</w:t>
            </w:r>
            <w:r w:rsidR="00BF039B" w:rsidRPr="00551522">
              <w:rPr>
                <w:lang w:eastAsia="cs-CZ"/>
              </w:rPr>
              <w:t xml:space="preserve"> (1 zástupce)</w:t>
            </w:r>
            <w:r w:rsidRPr="00551522">
              <w:rPr>
                <w:lang w:eastAsia="cs-CZ"/>
              </w:rPr>
              <w:t xml:space="preserve"> MPO</w:t>
            </w:r>
            <w:r w:rsidR="00F362B9" w:rsidRPr="00551522">
              <w:rPr>
                <w:lang w:eastAsia="cs-CZ"/>
              </w:rPr>
              <w:t>.</w:t>
            </w:r>
          </w:p>
          <w:p w14:paraId="179298F0" w14:textId="23A70786" w:rsidR="0081661D" w:rsidRPr="00551522" w:rsidRDefault="0081661D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>Ustavující jednání se koná nejpozději 3 měsíce od vydání právního aktu pro projekt. Na ustavujícím jednání volí členové ze svého středu předsedu a místopředsedu ŘV.</w:t>
            </w:r>
          </w:p>
          <w:p w14:paraId="36344D27" w14:textId="7BCD62B8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>Jednání ŘV se vždy účastní 3 stálí zástupci Realizátora (CT).</w:t>
            </w:r>
          </w:p>
          <w:p w14:paraId="11511AC4" w14:textId="46C33BD3" w:rsidR="0081661D" w:rsidRPr="00551522" w:rsidRDefault="0081661D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>Všichni členové ŘV podepisují na ustavujícím jednání Prohlášení o nepodjatosti a mlčenlivosti</w:t>
            </w:r>
            <w:r w:rsidR="00E50C42">
              <w:rPr>
                <w:rStyle w:val="Znakapoznpodarou"/>
                <w:lang w:eastAsia="cs-CZ"/>
              </w:rPr>
              <w:footnoteReference w:id="1"/>
            </w:r>
            <w:r w:rsidRPr="00551522">
              <w:rPr>
                <w:lang w:eastAsia="cs-CZ"/>
              </w:rPr>
              <w:t>.</w:t>
            </w:r>
          </w:p>
          <w:p w14:paraId="0F80AB3C" w14:textId="08FC67D3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 xml:space="preserve">Jednání se mohou účastnit zástupci oddělení </w:t>
            </w:r>
            <w:r w:rsidR="009B4662">
              <w:rPr>
                <w:lang w:eastAsia="cs-CZ"/>
              </w:rPr>
              <w:t xml:space="preserve">21620 </w:t>
            </w:r>
            <w:r w:rsidRPr="00551522">
              <w:rPr>
                <w:lang w:eastAsia="cs-CZ"/>
              </w:rPr>
              <w:t>MPO.</w:t>
            </w:r>
          </w:p>
          <w:p w14:paraId="5635DD02" w14:textId="0351A210" w:rsidR="003C4317" w:rsidRPr="00551522" w:rsidRDefault="003C4317" w:rsidP="0081661D">
            <w:pPr>
              <w:pStyle w:val="slovanseznam"/>
              <w:jc w:val="both"/>
              <w:rPr>
                <w:lang w:eastAsia="cs-CZ"/>
              </w:rPr>
            </w:pPr>
            <w:r w:rsidRPr="00551522">
              <w:rPr>
                <w:lang w:eastAsia="cs-CZ"/>
              </w:rPr>
              <w:t>Všechna ustanovení Jednacího řádu jsou pro činnost ŘV závazná a členové ŘV a stálí zástupci</w:t>
            </w:r>
            <w:r w:rsidR="0074655B" w:rsidRPr="00551522">
              <w:rPr>
                <w:lang w:eastAsia="cs-CZ"/>
              </w:rPr>
              <w:t xml:space="preserve"> (případně jejich náhradníci)</w:t>
            </w:r>
            <w:r w:rsidRPr="00551522">
              <w:rPr>
                <w:lang w:eastAsia="cs-CZ"/>
              </w:rPr>
              <w:t xml:space="preserve"> Realizátora jsou povinni se jimi v rámci jednání řídit.</w:t>
            </w:r>
          </w:p>
          <w:p w14:paraId="6B6C891D" w14:textId="77777777" w:rsidR="003C4317" w:rsidRPr="00551522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3DD5133F" w14:textId="77777777" w:rsidR="003C4317" w:rsidRPr="00551522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2</w:t>
            </w:r>
          </w:p>
          <w:p w14:paraId="32503F84" w14:textId="77777777" w:rsidR="003C4317" w:rsidRPr="00551522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Příprava jednání ŘV</w:t>
            </w:r>
          </w:p>
          <w:p w14:paraId="4BA16672" w14:textId="77777777" w:rsidR="003C4317" w:rsidRPr="00551522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09E405CC" w14:textId="5627C957" w:rsidR="003C4317" w:rsidRPr="0055152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Termín prvního řádného jednání ŘV navrhuje Realizátor, tento termín schvaluje vedoucí oddělení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="009B4662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MPO.</w:t>
            </w:r>
          </w:p>
          <w:p w14:paraId="0BBF298C" w14:textId="77777777" w:rsidR="003C4317" w:rsidRPr="0055152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Termín následného řádného jednání ŘV se stanoví na předchozím jednání ŘV a uvádí se v Zápise z tohoto jednání (dále jen „Zápis“), případně je stanoven ad hoc a to nejméně 5 pracovních dní před navrhovaným datem konání ŘV.</w:t>
            </w:r>
          </w:p>
          <w:p w14:paraId="3FA98972" w14:textId="3E4F0391" w:rsidR="003C4317" w:rsidRPr="0055152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Řádná jednání ŘV se konají nejméně 4x za kalendářní rok (prezenčně,</w:t>
            </w:r>
            <w:r w:rsidR="0081661D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online prostřednictvím MS Teams, per rollam).</w:t>
            </w:r>
            <w:r w:rsidR="0081661D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O formě jednání rozhoduje předseda </w:t>
            </w:r>
            <w:r w:rsidR="00CE19BA" w:rsidRPr="0012689E">
              <w:rPr>
                <w:rFonts w:ascii="Calibri" w:eastAsia="Times New Roman" w:hAnsi="Calibri" w:cs="Arial"/>
                <w:color w:val="auto"/>
                <w:lang w:eastAsia="cs-CZ"/>
              </w:rPr>
              <w:t>nebo místopředseda ŘV nebo osoba oprávněná pro administraci</w:t>
            </w:r>
            <w:r w:rsidR="00CE19BA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81661D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ŘV. </w:t>
            </w:r>
          </w:p>
          <w:p w14:paraId="660AACFC" w14:textId="77777777" w:rsidR="003C4317" w:rsidRPr="0055152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V případě potřeby se svolávají jednání mimořádná. Právo navrhnout svolání mimořádného jednání ŘV má každý člen ŘV či stálý zástupce Realizátora, konání mimořádného jednání schvaluje předseda ŘV, popř. místopředseda ŘV.</w:t>
            </w:r>
          </w:p>
          <w:p w14:paraId="7B8B2A34" w14:textId="77777777" w:rsidR="00B42488" w:rsidRPr="00B42488" w:rsidRDefault="00B42488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B42488">
              <w:rPr>
                <w:rFonts w:ascii="Calibri" w:eastAsia="Times New Roman" w:hAnsi="Calibri" w:cs="Arial"/>
                <w:color w:val="auto"/>
                <w:lang w:eastAsia="cs-CZ"/>
              </w:rPr>
              <w:t>Organizace jednání: realizátor zašle návrh programu předsedovi ŘV nebo místopředsedovi nebo osobě oprávněné pro administraci ŘV. Uvedené osoby můžou program doplnit a následně odsouhlasit Realizátorovi. Po schválení programu Realizátor zasílá informaci o jednání všem členům ŘV nejméně 5 pracovních dní před konáním. Realizátor je povinen zaslat materiály k jednání všem členům ŘV nejméně 3 pracovní dny před jednáním ŘV, pokud oprávněná osoba pro administraci ŘV nerozhodne jinak. Na vyjádření k podkladům musí Realizátor poskytnout členům ŘV minimálně 3 pracovní dny.</w:t>
            </w:r>
          </w:p>
          <w:p w14:paraId="3DFFC10A" w14:textId="491DD4F6" w:rsidR="00E57409" w:rsidRPr="009B466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Člen ŘV je v odůvodněných případech souvisejících s realizací projektu oprávněn přizvat na vyhrazenou část jednání ŘV věcně příslušného experta, jehož účast musí být předem oznámena 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lastRenderedPageBreak/>
              <w:t xml:space="preserve">předsedovi ŘV </w:t>
            </w:r>
            <w:r w:rsidR="00B42488" w:rsidRPr="009B4662">
              <w:rPr>
                <w:rFonts w:ascii="Calibri" w:eastAsia="Times New Roman" w:hAnsi="Calibri" w:cs="Arial"/>
                <w:color w:val="auto"/>
                <w:lang w:eastAsia="cs-CZ"/>
              </w:rPr>
              <w:t>nebo osobě oprávněné pro administraci ŘV nebo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vedoucímu oddělení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="009B4662"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MPO. Právo přizvat další experty mají i stálí zástupci Realizátora, jejich účast musí být předem oznámena předsedovi ŘV </w:t>
            </w:r>
            <w:r w:rsidR="00B42488" w:rsidRPr="009B4662">
              <w:rPr>
                <w:rFonts w:ascii="Calibri" w:eastAsia="Times New Roman" w:hAnsi="Calibri" w:cs="Arial"/>
                <w:color w:val="auto"/>
                <w:lang w:eastAsia="cs-CZ"/>
              </w:rPr>
              <w:t>nebo osobě oprávněné pro administraci ŘV nebo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 vedoucímu oddělení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="009B4662" w:rsidRPr="009B466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>MPO. Předseda ŘV má právo zamítnout účast dalších expertů navržených Realizátorem.</w:t>
            </w:r>
          </w:p>
          <w:p w14:paraId="7B4603F8" w14:textId="59D875C5" w:rsidR="003C4317" w:rsidRPr="00551522" w:rsidRDefault="003C4317" w:rsidP="009B4662">
            <w:pPr>
              <w:numPr>
                <w:ilvl w:val="0"/>
                <w:numId w:val="38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Účast na jednáních ŘV je pro členy a 3 stálé zástupce Realizátora povinná. V případě nemožnosti své osobní účasti na jednání ŘV ze závažných pracovních nebo zdravotních důvodů, se jednání ŘV účastní náhradník. Stálý zástupce Realizátora se může nechat zastoupit </w:t>
            </w:r>
            <w:r w:rsidR="00F362B9" w:rsidRPr="00551522">
              <w:rPr>
                <w:rFonts w:ascii="Calibri" w:eastAsia="Times New Roman" w:hAnsi="Calibri" w:cs="Arial"/>
                <w:color w:val="auto"/>
                <w:lang w:eastAsia="cs-CZ"/>
              </w:rPr>
              <w:t>určeným náhradníkem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48133741" w14:textId="77777777" w:rsidR="003C4317" w:rsidRPr="00551522" w:rsidRDefault="003C4317" w:rsidP="003C43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3</w:t>
            </w: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br/>
              <w:t>Průběh jednání ŘV</w:t>
            </w:r>
          </w:p>
          <w:p w14:paraId="243BA3B0" w14:textId="187FC64C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Program jednání vypracovává Realizátor. Realizátor zasílá program ke schválení předsedovi ŘV 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nebo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vedoucímu oddělení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="009B4662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nebo oprávněné osobě pro administraci ŘV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1F036012" w14:textId="43F93276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Jednání řídí předseda ŘV, v případě jeho neúčasti na ŘV řídí jednání místopředseda ŘV. V </w:t>
            </w:r>
            <w:r w:rsidR="00CC29E6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případě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neúčasti předsedy ŘV a místopředsedy ŘV řídí jednání člen ŘV nominovaní za Řídící orgán OP TAK, který bude schválen ŘV v rámci bodu č. 1 programu daného ŘV.</w:t>
            </w:r>
          </w:p>
          <w:p w14:paraId="5F8950CE" w14:textId="5594E24E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Z průběhu jednání se pořizuje Zápis o přijatých závěrech či doporučeních. Za vyhotovení konečného Zápisu (tj. včetně vypořádání připomínek) odpovídá Realizátor. Zápis je rozeslán členům do 5 kalendářníc</w:t>
            </w: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>h dnů od termínu jednání k připomínkám. Vypořádání připomínek a konečný Zápis schvaluje předseda ŘV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075D88">
              <w:rPr>
                <w:rFonts w:ascii="Calibri" w:eastAsia="Times New Roman" w:hAnsi="Calibri" w:cs="Arial"/>
                <w:lang w:eastAsia="cs-CZ"/>
              </w:rPr>
              <w:t>nebo oprávněná osoba pro administraci ŘV</w:t>
            </w:r>
            <w:r w:rsidR="00075D88" w:rsidRPr="00551522">
              <w:rPr>
                <w:rFonts w:ascii="Calibri" w:eastAsia="Times New Roman" w:hAnsi="Calibri" w:cs="Arial"/>
                <w:lang w:eastAsia="cs-CZ"/>
              </w:rPr>
              <w:t xml:space="preserve"> </w:t>
            </w:r>
            <w:r w:rsidR="00075D88">
              <w:rPr>
                <w:rFonts w:ascii="Calibri" w:eastAsia="Times New Roman" w:hAnsi="Calibri" w:cs="Arial"/>
                <w:lang w:eastAsia="cs-CZ"/>
              </w:rPr>
              <w:t>nebo</w:t>
            </w:r>
            <w:r w:rsidR="00075D88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místopředseda ŘV/VO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. Konečný Zápis je členům ŘV zaslán oddělením </w:t>
            </w:r>
            <w:r w:rsidR="009B4662">
              <w:rPr>
                <w:rFonts w:ascii="Calibri" w:eastAsia="Times New Roman" w:hAnsi="Calibri" w:cs="Arial"/>
                <w:color w:val="auto"/>
                <w:lang w:eastAsia="cs-CZ"/>
              </w:rPr>
              <w:t>21620</w:t>
            </w:r>
            <w:r w:rsidR="009B4662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MPO k podpisu nejpozději do 10 kalendářních dnů od termínu předmětného jednání, pokud předseda ŘV </w:t>
            </w:r>
            <w:r w:rsidR="00075D88">
              <w:rPr>
                <w:rFonts w:ascii="Calibri" w:eastAsia="Times New Roman" w:hAnsi="Calibri" w:cs="Arial"/>
                <w:lang w:eastAsia="cs-CZ"/>
              </w:rPr>
              <w:t>nebo oprávněná osoba pro administraci ŘV</w:t>
            </w:r>
            <w:r w:rsidR="00075D88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nerozhodne jinak.</w:t>
            </w:r>
          </w:p>
          <w:p w14:paraId="31EDC681" w14:textId="51D43462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ŘV schvaluje</w:t>
            </w:r>
            <w:r w:rsidR="00BF039B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97569F" w:rsidRPr="00551522">
              <w:rPr>
                <w:rFonts w:ascii="Calibri" w:eastAsia="Times New Roman" w:hAnsi="Calibri" w:cs="Arial"/>
                <w:color w:val="auto"/>
                <w:lang w:eastAsia="cs-CZ"/>
              </w:rPr>
              <w:t>program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jednání. Právo hlasovat ke všem bodům </w:t>
            </w:r>
            <w:r w:rsidR="0097569F"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programu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jednání mají všichni členové ŘV. Právo navrhnout body k projednání na ŘV mají i stálí zástupci Realizátora.</w:t>
            </w:r>
          </w:p>
          <w:p w14:paraId="09E50A46" w14:textId="77777777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V případě střetu zájmů je příslušnému členu právo hlasovat odebráno. O vyloučení je vyhotoven záznam do Zápisu z jednání ŘV.</w:t>
            </w:r>
          </w:p>
          <w:p w14:paraId="32C7D6E1" w14:textId="77777777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Výsledky hlasování se zapisují do Zápisu nebo Protokolu o hlasování formou „ŘV schválil“ či „ŘV neschválil“.</w:t>
            </w:r>
          </w:p>
          <w:p w14:paraId="378B391A" w14:textId="77777777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Každý člen ŘV disponuje 1 hlasem. Závěr či doporučení jsou přijaty, v případě, že pro něj hlasovala nadpoloviční většina členů ŘV. V případě nerozhodného počtu hlasů rozhoduje hlas předsedy ŘV.</w:t>
            </w:r>
          </w:p>
          <w:p w14:paraId="731A593C" w14:textId="01929485" w:rsidR="003C4317" w:rsidRPr="00551522" w:rsidRDefault="003C4317" w:rsidP="009B4662">
            <w:pPr>
              <w:numPr>
                <w:ilvl w:val="0"/>
                <w:numId w:val="39"/>
              </w:numPr>
              <w:tabs>
                <w:tab w:val="clear" w:pos="720"/>
              </w:tabs>
              <w:spacing w:before="100" w:beforeAutospacing="1" w:after="100" w:afterAutospacing="1" w:line="276" w:lineRule="auto"/>
              <w:ind w:left="454" w:hanging="454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ŘV je usnášeníschopný při účasti 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 xml:space="preserve">nadpoloviční většiny 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členů ŘV.</w:t>
            </w:r>
          </w:p>
          <w:p w14:paraId="54DE34E1" w14:textId="77777777" w:rsidR="003C4317" w:rsidRPr="00551522" w:rsidRDefault="003C4317" w:rsidP="003C43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4</w:t>
            </w:r>
            <w:r w:rsidRPr="00551522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br/>
              <w:t>Náplň činnosti ŘV</w:t>
            </w:r>
          </w:p>
          <w:p w14:paraId="6B9F6CBC" w14:textId="77777777" w:rsidR="003C4317" w:rsidRPr="00551522" w:rsidRDefault="003C4317" w:rsidP="003C4317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ŘV</w:t>
            </w:r>
            <w:r w:rsidRPr="00551522">
              <w:rPr>
                <w:rFonts w:ascii="Calibri" w:eastAsia="Times New Roman" w:hAnsi="Calibri" w:cs="Arial"/>
                <w:color w:val="auto"/>
              </w:rPr>
              <w:t xml:space="preserve"> zajišťuje tyto činnosti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:</w:t>
            </w:r>
          </w:p>
          <w:p w14:paraId="5E1B4FB2" w14:textId="2F25F8D3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Odpovídá za 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soulad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věcného obsahu </w:t>
            </w:r>
            <w:r w:rsidR="00075D88" w:rsidRPr="00551522">
              <w:rPr>
                <w:rFonts w:ascii="Calibri" w:eastAsia="Times New Roman" w:hAnsi="Calibri" w:cs="Arial"/>
                <w:color w:val="auto"/>
                <w:lang w:eastAsia="cs-CZ"/>
              </w:rPr>
              <w:t>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 s verzí, která odpovídá schválenému Rozhodnutí o poskytnutí dotace včetně jeho dodatků a schváleným žádostem o změnu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58CD52FA" w14:textId="5EC7779D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Dohlíží na správnou realizaci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57F52F90" w14:textId="56E2B21A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Projednává a schvaluje návrhy svých členů a stálých zástupců 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ealizátora týkající se realizace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742E92FB" w14:textId="51D77ABE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Předává Realizátorovi svá doporučení, požadavky a připomínky k realizaci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39C9A810" w14:textId="528CA90F" w:rsidR="003C4317" w:rsidRPr="00551522" w:rsidRDefault="00F362B9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S</w:t>
            </w:r>
            <w:r w:rsidR="003C4317" w:rsidRPr="00551522">
              <w:rPr>
                <w:rFonts w:ascii="Calibri" w:eastAsia="Times New Roman" w:hAnsi="Calibri" w:cs="Arial"/>
                <w:color w:val="auto"/>
                <w:lang w:eastAsia="cs-CZ"/>
              </w:rPr>
              <w:t>chvaluje podstatné změny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="003C4317"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0841317A" w14:textId="77777777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Bere na vědomí výsledky VŘ.</w:t>
            </w:r>
          </w:p>
          <w:p w14:paraId="4813C99F" w14:textId="793E7CB6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lastRenderedPageBreak/>
              <w:t>Schvaluje návrhy seznam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podporovaných výstav a veletrhů a dalších klíčových aktivit, které vč. průběžné aktualizace předkládá Realizátor.</w:t>
            </w:r>
          </w:p>
          <w:p w14:paraId="3A2AAA5C" w14:textId="50CDCEBB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Schvaluje plány aktivit a činností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s podrobným harmonogramem etap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obsahující jednotlivé akce včetně doprovodné propagace (např. tiskové konference, odborné semináře, kontaktní fóra, mediální komunikace, výroba tiskovin) a výstupy průřezových činností projekt</w:t>
            </w:r>
            <w:r w:rsidR="00075D88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11D65DD9" w14:textId="0280CE21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Projednává žádosti o podporu MSP a na základě hodnocení a stanoviska Realizátora doporučuje 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žádosti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ke schválení/zamítnutí.</w:t>
            </w:r>
          </w:p>
          <w:p w14:paraId="67DAF9D0" w14:textId="3AC7615F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Projednává a schvaluje rozpočty jednotlivých etap projekt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obsahující jednotlivé </w:t>
            </w:r>
            <w:proofErr w:type="gramStart"/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akce </w:t>
            </w:r>
            <w:r w:rsidR="00BC6EFF" w:rsidRPr="00146BD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</w:t>
            </w:r>
            <w:proofErr w:type="gramEnd"/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BC6EFF" w:rsidRPr="00146BD3">
              <w:rPr>
                <w:rFonts w:ascii="Calibri" w:eastAsia="Times New Roman" w:hAnsi="Calibri" w:cs="Arial"/>
                <w:color w:val="auto"/>
                <w:lang w:eastAsia="cs-CZ"/>
              </w:rPr>
              <w:t>rámci klíčových aktivit a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 další náklady Realizátora v rámci realizace projekt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56AE924D" w14:textId="2CD3AC49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Projednává a schvaluje výš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záloh finančních prostředků na etap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y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podle schválen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ých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plán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aktivit a činností projekt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022F89D7" w14:textId="7B63177E" w:rsidR="003C4317" w:rsidRPr="0055152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Projednává a schvaluje zprávy z realizace akcí vč. doprovodné propagace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BC6EFF" w:rsidRPr="00146BD3">
              <w:rPr>
                <w:rFonts w:ascii="Calibri" w:eastAsia="Times New Roman" w:hAnsi="Calibri" w:cs="Arial"/>
                <w:color w:val="auto"/>
                <w:lang w:eastAsia="cs-CZ"/>
              </w:rPr>
              <w:t>a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BC6EFF" w:rsidRPr="00146BD3">
              <w:rPr>
                <w:rFonts w:ascii="Calibri" w:eastAsia="Times New Roman" w:hAnsi="Calibri" w:cs="Arial"/>
                <w:color w:val="auto"/>
                <w:lang w:eastAsia="cs-CZ"/>
              </w:rPr>
              <w:t>výstupů z</w:t>
            </w:r>
            <w:r w:rsidR="00BC6EFF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BC6EFF" w:rsidRPr="00146BD3">
              <w:rPr>
                <w:rFonts w:ascii="Calibri" w:eastAsia="Times New Roman" w:hAnsi="Calibri" w:cs="Arial"/>
                <w:color w:val="auto"/>
                <w:lang w:eastAsia="cs-CZ"/>
              </w:rPr>
              <w:t>realizací KA projektů</w:t>
            </w:r>
            <w:r w:rsidRPr="00551522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2A33084C" w14:textId="2EE30D50" w:rsidR="003C4317" w:rsidRPr="009B4662" w:rsidRDefault="003C4317" w:rsidP="009B4662">
            <w:pPr>
              <w:numPr>
                <w:ilvl w:val="0"/>
                <w:numId w:val="41"/>
              </w:numPr>
              <w:tabs>
                <w:tab w:val="clear" w:pos="720"/>
                <w:tab w:val="num" w:pos="454"/>
              </w:tabs>
              <w:spacing w:before="100" w:beforeAutospacing="1" w:after="100" w:afterAutospacing="1" w:line="276" w:lineRule="auto"/>
              <w:ind w:left="454" w:hanging="425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9B4662">
              <w:rPr>
                <w:rFonts w:ascii="Calibri" w:eastAsia="Times New Roman" w:hAnsi="Calibri" w:cs="Arial"/>
                <w:color w:val="auto"/>
                <w:lang w:eastAsia="cs-CZ"/>
              </w:rPr>
              <w:t>Projednává a schvaluje Závěrečnou zprávu projektu.</w:t>
            </w:r>
          </w:p>
          <w:p w14:paraId="7CC57E3C" w14:textId="77777777" w:rsidR="003576DC" w:rsidRPr="000D19D0" w:rsidRDefault="003576DC" w:rsidP="003576DC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0D19D0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5</w:t>
            </w:r>
          </w:p>
          <w:p w14:paraId="3F88AECB" w14:textId="77777777" w:rsidR="003576DC" w:rsidRDefault="003576DC" w:rsidP="003576DC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0D19D0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Závěrečná ustanovení</w:t>
            </w:r>
          </w:p>
          <w:p w14:paraId="79A68A45" w14:textId="77777777" w:rsidR="003576DC" w:rsidRDefault="003576DC" w:rsidP="003576DC">
            <w:pPr>
              <w:pStyle w:val="Odstavecseseznamem"/>
              <w:numPr>
                <w:ilvl w:val="0"/>
                <w:numId w:val="42"/>
              </w:numPr>
              <w:spacing w:after="200" w:line="276" w:lineRule="auto"/>
              <w:ind w:left="454" w:hanging="454"/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0D19D0">
              <w:rPr>
                <w:rFonts w:ascii="Calibri" w:eastAsia="Times New Roman" w:hAnsi="Calibri" w:cs="Calibri"/>
                <w:color w:val="auto"/>
              </w:rPr>
              <w:t>Další písemné změny a doplňky tohoto Jednacího řádu podléhají schválení ŘV.</w:t>
            </w:r>
          </w:p>
          <w:p w14:paraId="051361D2" w14:textId="77777777" w:rsidR="003576DC" w:rsidRPr="000D19D0" w:rsidRDefault="003576DC" w:rsidP="003576DC">
            <w:pPr>
              <w:pStyle w:val="Odstavecseseznamem"/>
              <w:numPr>
                <w:ilvl w:val="0"/>
                <w:numId w:val="42"/>
              </w:numPr>
              <w:spacing w:after="200" w:line="276" w:lineRule="auto"/>
              <w:ind w:left="454" w:hanging="454"/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0D19D0">
              <w:rPr>
                <w:rFonts w:ascii="Calibri" w:eastAsia="Times New Roman" w:hAnsi="Calibri" w:cs="Calibri"/>
                <w:color w:val="auto"/>
              </w:rPr>
              <w:t>Změna zástupců ze strany MPO je možná na základě souhlasu ostatních členů ŘV.</w:t>
            </w:r>
          </w:p>
          <w:p w14:paraId="02D22381" w14:textId="77777777" w:rsidR="003C4317" w:rsidRPr="003C4317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01F2BF4B" w14:textId="4ED9DE70" w:rsidR="003C4317" w:rsidRPr="003C4317" w:rsidRDefault="003C4317" w:rsidP="00CC29E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</w:p>
        </w:tc>
      </w:tr>
      <w:bookmarkEnd w:id="0"/>
    </w:tbl>
    <w:p w14:paraId="3DEDCAB6" w14:textId="77777777" w:rsidR="008717A0" w:rsidRPr="00605759" w:rsidRDefault="008717A0" w:rsidP="005C3E9C">
      <w:pPr>
        <w:jc w:val="both"/>
      </w:pPr>
    </w:p>
    <w:sectPr w:rsidR="008717A0" w:rsidRPr="00605759" w:rsidSect="00A8465D">
      <w:headerReference w:type="default" r:id="rId8"/>
      <w:footerReference w:type="default" r:id="rId9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A3D0" w14:textId="77777777" w:rsidR="0068039D" w:rsidRDefault="0068039D" w:rsidP="00677FE0">
      <w:pPr>
        <w:spacing w:after="0" w:line="240" w:lineRule="auto"/>
      </w:pPr>
      <w:r>
        <w:separator/>
      </w:r>
    </w:p>
  </w:endnote>
  <w:endnote w:type="continuationSeparator" w:id="0">
    <w:p w14:paraId="7D79BE49" w14:textId="77777777" w:rsidR="0068039D" w:rsidRDefault="0068039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C1CE" w14:textId="3F26E681" w:rsidR="00A8465D" w:rsidRDefault="00A8465D" w:rsidP="00A84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8440A" wp14:editId="22E71D95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</w:t>
    </w:r>
    <w:r w:rsidR="005921E4">
      <w:t xml:space="preserve"> </w:t>
    </w:r>
    <w:r w:rsidR="000E3673">
      <w:t>6</w:t>
    </w:r>
  </w:p>
  <w:p w14:paraId="082DC9C4" w14:textId="23B77A8E" w:rsidR="00A8465D" w:rsidRDefault="00A8465D" w:rsidP="00A8465D">
    <w:pPr>
      <w:pStyle w:val="Zpat"/>
    </w:pPr>
    <w:r>
      <w:t>Platnost</w:t>
    </w:r>
    <w:r w:rsidR="001F6D60">
      <w:t xml:space="preserve"> </w:t>
    </w:r>
    <w:r w:rsidR="00A9067F">
      <w:t>od</w:t>
    </w:r>
    <w:r w:rsidR="009B4662">
      <w:t xml:space="preserve"> 1. </w:t>
    </w:r>
    <w:r w:rsidR="000E3673">
      <w:t>8</w:t>
    </w:r>
    <w:r w:rsidR="009B4662">
      <w:t>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CDCC" w14:textId="77777777" w:rsidR="0068039D" w:rsidRDefault="0068039D" w:rsidP="00677FE0">
      <w:pPr>
        <w:spacing w:after="0" w:line="240" w:lineRule="auto"/>
      </w:pPr>
      <w:r>
        <w:separator/>
      </w:r>
    </w:p>
  </w:footnote>
  <w:footnote w:type="continuationSeparator" w:id="0">
    <w:p w14:paraId="3DE33F99" w14:textId="77777777" w:rsidR="0068039D" w:rsidRDefault="0068039D" w:rsidP="00677FE0">
      <w:pPr>
        <w:spacing w:after="0" w:line="240" w:lineRule="auto"/>
      </w:pPr>
      <w:r>
        <w:continuationSeparator/>
      </w:r>
    </w:p>
  </w:footnote>
  <w:footnote w:id="1">
    <w:p w14:paraId="4ADAD91B" w14:textId="342FE5E5" w:rsidR="00E50C42" w:rsidRDefault="00E50C42">
      <w:pPr>
        <w:pStyle w:val="Textpoznpodarou"/>
      </w:pPr>
      <w:r>
        <w:rPr>
          <w:rStyle w:val="Znakapoznpodarou"/>
        </w:rPr>
        <w:footnoteRef/>
      </w:r>
      <w:r>
        <w:t xml:space="preserve"> Případně na prvním jednání, kterého se účastní.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36A5" w14:textId="031E7B78" w:rsidR="00A8465D" w:rsidRPr="00A87302" w:rsidRDefault="000726E6" w:rsidP="00A8465D">
    <w:pPr>
      <w:pStyle w:val="Zhlav"/>
      <w:jc w:val="center"/>
      <w:rPr>
        <w:b/>
        <w:sz w:val="24"/>
      </w:rPr>
    </w:pPr>
    <w:r w:rsidRPr="00A87302">
      <w:rPr>
        <w:b/>
        <w:noProof/>
      </w:rPr>
      <w:drawing>
        <wp:anchor distT="0" distB="0" distL="114300" distR="114300" simplePos="0" relativeHeight="251661312" behindDoc="0" locked="0" layoutInCell="1" allowOverlap="1" wp14:anchorId="7B32BFBC" wp14:editId="64F29844">
          <wp:simplePos x="0" y="0"/>
          <wp:positionH relativeFrom="column">
            <wp:posOffset>-542925</wp:posOffset>
          </wp:positionH>
          <wp:positionV relativeFrom="paragraph">
            <wp:posOffset>-324485</wp:posOffset>
          </wp:positionV>
          <wp:extent cx="1532890" cy="34290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65D" w:rsidRPr="00A87302">
      <w:rPr>
        <w:b/>
        <w:sz w:val="24"/>
      </w:rPr>
      <w:t xml:space="preserve">Příloha č. </w:t>
    </w:r>
    <w:r w:rsidR="001F6D60">
      <w:rPr>
        <w:b/>
        <w:sz w:val="24"/>
      </w:rPr>
      <w:t xml:space="preserve">7.3/1 </w:t>
    </w:r>
    <w:r w:rsidR="00A8465D" w:rsidRPr="00A87302">
      <w:rPr>
        <w:b/>
        <w:sz w:val="24"/>
      </w:rPr>
      <w:t xml:space="preserve">– </w:t>
    </w:r>
    <w:r w:rsidR="00A87302" w:rsidRPr="00A87302">
      <w:rPr>
        <w:b/>
        <w:sz w:val="24"/>
      </w:rPr>
      <w:t xml:space="preserve">Jednací řád ŘV pro projekty 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B11F2B"/>
    <w:multiLevelType w:val="multilevel"/>
    <w:tmpl w:val="EB58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5B5F1A"/>
    <w:multiLevelType w:val="multilevel"/>
    <w:tmpl w:val="608E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036641B"/>
    <w:multiLevelType w:val="multilevel"/>
    <w:tmpl w:val="3638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53290926"/>
    <w:multiLevelType w:val="multilevel"/>
    <w:tmpl w:val="E8BAE50A"/>
    <w:numStyleLink w:val="VariantaA-odrky"/>
  </w:abstractNum>
  <w:abstractNum w:abstractNumId="33" w15:restartNumberingAfterBreak="0">
    <w:nsid w:val="533902EA"/>
    <w:multiLevelType w:val="multilevel"/>
    <w:tmpl w:val="E8BAE50A"/>
    <w:numStyleLink w:val="VariantaA-odrky"/>
  </w:abstractNum>
  <w:abstractNum w:abstractNumId="34" w15:restartNumberingAfterBreak="0">
    <w:nsid w:val="540047FF"/>
    <w:multiLevelType w:val="multilevel"/>
    <w:tmpl w:val="55F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544E7B28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54DA6FFD"/>
    <w:multiLevelType w:val="hybridMultilevel"/>
    <w:tmpl w:val="370A078A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7" w15:restartNumberingAfterBreak="0">
    <w:nsid w:val="571C11E2"/>
    <w:multiLevelType w:val="multilevel"/>
    <w:tmpl w:val="E8A48D7C"/>
    <w:numStyleLink w:val="VariantaA-sla"/>
  </w:abstractNum>
  <w:abstractNum w:abstractNumId="3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9" w15:restartNumberingAfterBreak="0">
    <w:nsid w:val="5AF35F43"/>
    <w:multiLevelType w:val="multilevel"/>
    <w:tmpl w:val="0D8ABE32"/>
    <w:numStyleLink w:val="VariantaB-sla"/>
  </w:abstractNum>
  <w:num w:numId="1">
    <w:abstractNumId w:val="17"/>
  </w:num>
  <w:num w:numId="2">
    <w:abstractNumId w:val="38"/>
  </w:num>
  <w:num w:numId="3">
    <w:abstractNumId w:val="20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7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3"/>
  </w:num>
  <w:num w:numId="14">
    <w:abstractNumId w:val="4"/>
  </w:num>
  <w:num w:numId="15">
    <w:abstractNumId w:val="3"/>
  </w:num>
  <w:num w:numId="16">
    <w:abstractNumId w:val="30"/>
  </w:num>
  <w:num w:numId="17">
    <w:abstractNumId w:val="21"/>
  </w:num>
  <w:num w:numId="18">
    <w:abstractNumId w:val="6"/>
  </w:num>
  <w:num w:numId="19">
    <w:abstractNumId w:val="13"/>
  </w:num>
  <w:num w:numId="20">
    <w:abstractNumId w:val="8"/>
  </w:num>
  <w:num w:numId="21">
    <w:abstractNumId w:val="28"/>
  </w:num>
  <w:num w:numId="22">
    <w:abstractNumId w:val="11"/>
  </w:num>
  <w:num w:numId="23">
    <w:abstractNumId w:val="22"/>
  </w:num>
  <w:num w:numId="24">
    <w:abstractNumId w:val="12"/>
  </w:num>
  <w:num w:numId="25">
    <w:abstractNumId w:val="16"/>
  </w:num>
  <w:num w:numId="26">
    <w:abstractNumId w:val="29"/>
  </w:num>
  <w:num w:numId="27">
    <w:abstractNumId w:val="27"/>
  </w:num>
  <w:num w:numId="28">
    <w:abstractNumId w:val="26"/>
  </w:num>
  <w:num w:numId="29">
    <w:abstractNumId w:val="19"/>
  </w:num>
  <w:num w:numId="30">
    <w:abstractNumId w:val="32"/>
  </w:num>
  <w:num w:numId="31">
    <w:abstractNumId w:val="39"/>
  </w:num>
  <w:num w:numId="32">
    <w:abstractNumId w:val="24"/>
  </w:num>
  <w:num w:numId="33">
    <w:abstractNumId w:val="18"/>
  </w:num>
  <w:num w:numId="34">
    <w:abstractNumId w:val="9"/>
  </w:num>
  <w:num w:numId="35">
    <w:abstractNumId w:val="25"/>
  </w:num>
  <w:num w:numId="36">
    <w:abstractNumId w:val="14"/>
  </w:num>
  <w:num w:numId="37">
    <w:abstractNumId w:val="35"/>
  </w:num>
  <w:num w:numId="38">
    <w:abstractNumId w:val="31"/>
  </w:num>
  <w:num w:numId="39">
    <w:abstractNumId w:val="23"/>
  </w:num>
  <w:num w:numId="40">
    <w:abstractNumId w:val="10"/>
  </w:num>
  <w:num w:numId="41">
    <w:abstractNumId w:val="34"/>
  </w:num>
  <w:num w:numId="42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A0"/>
    <w:rsid w:val="00004E85"/>
    <w:rsid w:val="00015306"/>
    <w:rsid w:val="0002674B"/>
    <w:rsid w:val="0004162E"/>
    <w:rsid w:val="0004786B"/>
    <w:rsid w:val="00063405"/>
    <w:rsid w:val="000726E6"/>
    <w:rsid w:val="00075D88"/>
    <w:rsid w:val="000809B9"/>
    <w:rsid w:val="000877FC"/>
    <w:rsid w:val="00090B40"/>
    <w:rsid w:val="00095A0A"/>
    <w:rsid w:val="000B1B3D"/>
    <w:rsid w:val="000C4CAF"/>
    <w:rsid w:val="000E3673"/>
    <w:rsid w:val="00115200"/>
    <w:rsid w:val="00121485"/>
    <w:rsid w:val="001268B0"/>
    <w:rsid w:val="0018051B"/>
    <w:rsid w:val="001B1E4A"/>
    <w:rsid w:val="001D27C0"/>
    <w:rsid w:val="001E74C3"/>
    <w:rsid w:val="001F6937"/>
    <w:rsid w:val="001F6D60"/>
    <w:rsid w:val="00220DE3"/>
    <w:rsid w:val="00232ADA"/>
    <w:rsid w:val="0025290D"/>
    <w:rsid w:val="00260372"/>
    <w:rsid w:val="00262DAF"/>
    <w:rsid w:val="00285AED"/>
    <w:rsid w:val="002B495E"/>
    <w:rsid w:val="002E2442"/>
    <w:rsid w:val="002F0E8C"/>
    <w:rsid w:val="00310FA0"/>
    <w:rsid w:val="00320481"/>
    <w:rsid w:val="003250CB"/>
    <w:rsid w:val="003576DC"/>
    <w:rsid w:val="00363201"/>
    <w:rsid w:val="0039063C"/>
    <w:rsid w:val="003A46A8"/>
    <w:rsid w:val="003A51AA"/>
    <w:rsid w:val="003B565A"/>
    <w:rsid w:val="003C4317"/>
    <w:rsid w:val="003D00A1"/>
    <w:rsid w:val="0041427F"/>
    <w:rsid w:val="004509E5"/>
    <w:rsid w:val="00473FE6"/>
    <w:rsid w:val="00486FB9"/>
    <w:rsid w:val="004C212A"/>
    <w:rsid w:val="004F1736"/>
    <w:rsid w:val="00500232"/>
    <w:rsid w:val="00504668"/>
    <w:rsid w:val="005408D5"/>
    <w:rsid w:val="005455E1"/>
    <w:rsid w:val="005502BD"/>
    <w:rsid w:val="00551522"/>
    <w:rsid w:val="00556787"/>
    <w:rsid w:val="00563462"/>
    <w:rsid w:val="005820A3"/>
    <w:rsid w:val="00582276"/>
    <w:rsid w:val="005921E4"/>
    <w:rsid w:val="005C2560"/>
    <w:rsid w:val="005C3E9C"/>
    <w:rsid w:val="005F7585"/>
    <w:rsid w:val="00605759"/>
    <w:rsid w:val="00650C6C"/>
    <w:rsid w:val="00652FE6"/>
    <w:rsid w:val="00667898"/>
    <w:rsid w:val="00677FE0"/>
    <w:rsid w:val="0068039D"/>
    <w:rsid w:val="006B6361"/>
    <w:rsid w:val="006D04EF"/>
    <w:rsid w:val="006E2FB0"/>
    <w:rsid w:val="007102D2"/>
    <w:rsid w:val="00713948"/>
    <w:rsid w:val="0074655B"/>
    <w:rsid w:val="00753A27"/>
    <w:rsid w:val="00767A71"/>
    <w:rsid w:val="0079342A"/>
    <w:rsid w:val="007B4949"/>
    <w:rsid w:val="007F0BC6"/>
    <w:rsid w:val="008049B3"/>
    <w:rsid w:val="0081661D"/>
    <w:rsid w:val="00831374"/>
    <w:rsid w:val="008370DE"/>
    <w:rsid w:val="00857580"/>
    <w:rsid w:val="00865238"/>
    <w:rsid w:val="008667BF"/>
    <w:rsid w:val="008717A0"/>
    <w:rsid w:val="00895645"/>
    <w:rsid w:val="008A7851"/>
    <w:rsid w:val="008B4565"/>
    <w:rsid w:val="008C3782"/>
    <w:rsid w:val="008D4A32"/>
    <w:rsid w:val="008D593A"/>
    <w:rsid w:val="008E7760"/>
    <w:rsid w:val="00922001"/>
    <w:rsid w:val="00922C17"/>
    <w:rsid w:val="00942DDD"/>
    <w:rsid w:val="009516A8"/>
    <w:rsid w:val="0097569F"/>
    <w:rsid w:val="0097705C"/>
    <w:rsid w:val="009B4662"/>
    <w:rsid w:val="009F393D"/>
    <w:rsid w:val="009F5260"/>
    <w:rsid w:val="009F7F46"/>
    <w:rsid w:val="00A000BF"/>
    <w:rsid w:val="00A0587E"/>
    <w:rsid w:val="00A275BC"/>
    <w:rsid w:val="00A464B4"/>
    <w:rsid w:val="00A57A1C"/>
    <w:rsid w:val="00A63D6B"/>
    <w:rsid w:val="00A65D23"/>
    <w:rsid w:val="00A8465D"/>
    <w:rsid w:val="00A84B52"/>
    <w:rsid w:val="00A8660F"/>
    <w:rsid w:val="00A87302"/>
    <w:rsid w:val="00A9067F"/>
    <w:rsid w:val="00A938D5"/>
    <w:rsid w:val="00A95C48"/>
    <w:rsid w:val="00AA7056"/>
    <w:rsid w:val="00AB31C6"/>
    <w:rsid w:val="00AB523B"/>
    <w:rsid w:val="00AD7E40"/>
    <w:rsid w:val="00B1477A"/>
    <w:rsid w:val="00B20993"/>
    <w:rsid w:val="00B42488"/>
    <w:rsid w:val="00B42E96"/>
    <w:rsid w:val="00B50EE6"/>
    <w:rsid w:val="00B52185"/>
    <w:rsid w:val="00B9753A"/>
    <w:rsid w:val="00BB479C"/>
    <w:rsid w:val="00BC4720"/>
    <w:rsid w:val="00BC6EFF"/>
    <w:rsid w:val="00BD3591"/>
    <w:rsid w:val="00BD75A2"/>
    <w:rsid w:val="00BF039B"/>
    <w:rsid w:val="00C2017A"/>
    <w:rsid w:val="00C2026B"/>
    <w:rsid w:val="00C20470"/>
    <w:rsid w:val="00C34B2F"/>
    <w:rsid w:val="00C36DAF"/>
    <w:rsid w:val="00C4641B"/>
    <w:rsid w:val="00C6690E"/>
    <w:rsid w:val="00C703C5"/>
    <w:rsid w:val="00C805F2"/>
    <w:rsid w:val="00C96EFE"/>
    <w:rsid w:val="00CC1B7C"/>
    <w:rsid w:val="00CC29E6"/>
    <w:rsid w:val="00CC5E40"/>
    <w:rsid w:val="00CE19BA"/>
    <w:rsid w:val="00D1569F"/>
    <w:rsid w:val="00D20B1E"/>
    <w:rsid w:val="00D22462"/>
    <w:rsid w:val="00D230AC"/>
    <w:rsid w:val="00D32489"/>
    <w:rsid w:val="00D3349E"/>
    <w:rsid w:val="00D73CB8"/>
    <w:rsid w:val="00DA7591"/>
    <w:rsid w:val="00DE2501"/>
    <w:rsid w:val="00E32798"/>
    <w:rsid w:val="00E33CC8"/>
    <w:rsid w:val="00E420A2"/>
    <w:rsid w:val="00E50C42"/>
    <w:rsid w:val="00E51C91"/>
    <w:rsid w:val="00E57409"/>
    <w:rsid w:val="00E667C1"/>
    <w:rsid w:val="00EB0152"/>
    <w:rsid w:val="00EC3F88"/>
    <w:rsid w:val="00ED36D8"/>
    <w:rsid w:val="00EE6BD7"/>
    <w:rsid w:val="00F0689D"/>
    <w:rsid w:val="00F16FA2"/>
    <w:rsid w:val="00F362B9"/>
    <w:rsid w:val="00F82D07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AAB99F6"/>
  <w15:chartTrackingRefBased/>
  <w15:docId w15:val="{27008E74-E374-4894-998A-55FE6E5D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317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C431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317"/>
    <w:rPr>
      <w:rFonts w:ascii="Segoe UI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0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0A3"/>
    <w:rPr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0C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0C42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0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C66B-35D6-4F33-ABB5-70612BAA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Ohrazdová Klára</dc:creator>
  <cp:keywords/>
  <dc:description/>
  <cp:lastModifiedBy>Mikesková Kateřina</cp:lastModifiedBy>
  <cp:revision>4</cp:revision>
  <cp:lastPrinted>2023-11-30T05:51:00Z</cp:lastPrinted>
  <dcterms:created xsi:type="dcterms:W3CDTF">2025-01-30T14:02:00Z</dcterms:created>
  <dcterms:modified xsi:type="dcterms:W3CDTF">2025-07-30T13:57:00Z</dcterms:modified>
</cp:coreProperties>
</file>